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92D517" w14:textId="550D573F" w:rsidR="00826C94" w:rsidRPr="009D56B1" w:rsidRDefault="00826C94" w:rsidP="00826C94">
      <w:pPr>
        <w:pStyle w:val="Header"/>
        <w:tabs>
          <w:tab w:val="right" w:pos="9639"/>
        </w:tabs>
        <w:rPr>
          <w:rFonts w:eastAsia="MS Mincho"/>
          <w:bCs/>
          <w:i/>
          <w:noProof w:val="0"/>
          <w:sz w:val="32"/>
          <w:lang w:eastAsia="ko-KR"/>
        </w:rPr>
      </w:pPr>
      <w:r w:rsidRPr="00A87711">
        <w:rPr>
          <w:noProof w:val="0"/>
          <w:sz w:val="24"/>
          <w:lang w:eastAsia="zh-CN"/>
        </w:rPr>
        <w:t>3GPP TSG RAN WG2</w:t>
      </w:r>
      <w:r>
        <w:rPr>
          <w:noProof w:val="0"/>
          <w:sz w:val="24"/>
          <w:lang w:eastAsia="zh-CN"/>
        </w:rPr>
        <w:t xml:space="preserve"> Meeting #99bis</w:t>
      </w:r>
      <w:r w:rsidRPr="009D56B1">
        <w:rPr>
          <w:bCs/>
          <w:noProof w:val="0"/>
          <w:sz w:val="24"/>
        </w:rPr>
        <w:tab/>
      </w:r>
      <w:r>
        <w:rPr>
          <w:bCs/>
          <w:noProof w:val="0"/>
          <w:sz w:val="24"/>
          <w:lang w:eastAsia="ja-JP"/>
        </w:rPr>
        <w:t>R2-</w:t>
      </w:r>
      <w:r w:rsidRPr="00732A41">
        <w:rPr>
          <w:bCs/>
          <w:noProof w:val="0"/>
          <w:sz w:val="24"/>
          <w:lang w:eastAsia="ja-JP"/>
        </w:rPr>
        <w:t>17</w:t>
      </w:r>
      <w:r w:rsidR="00AB0725">
        <w:rPr>
          <w:bCs/>
          <w:noProof w:val="0"/>
          <w:sz w:val="24"/>
          <w:lang w:eastAsia="ja-JP"/>
        </w:rPr>
        <w:t>10651</w:t>
      </w:r>
    </w:p>
    <w:p w14:paraId="60EF47AF" w14:textId="2E05AD0C" w:rsidR="001C137C" w:rsidRPr="009D56B1" w:rsidRDefault="00826C94" w:rsidP="00826C94">
      <w:pPr>
        <w:pStyle w:val="Header"/>
        <w:tabs>
          <w:tab w:val="right" w:pos="9639"/>
        </w:tabs>
        <w:rPr>
          <w:bCs/>
          <w:i/>
          <w:noProof w:val="0"/>
          <w:sz w:val="24"/>
        </w:rPr>
      </w:pPr>
      <w:r w:rsidRPr="00577BFD">
        <w:rPr>
          <w:noProof w:val="0"/>
          <w:sz w:val="24"/>
          <w:lang w:eastAsia="zh-CN"/>
        </w:rPr>
        <w:t>Prague, Czech Republic, 9th – 13th October 2017</w:t>
      </w:r>
      <w:r w:rsidR="001C137C" w:rsidRPr="009D56B1">
        <w:rPr>
          <w:noProof w:val="0"/>
          <w:sz w:val="24"/>
          <w:lang w:eastAsia="zh-CN"/>
        </w:rPr>
        <w:tab/>
      </w:r>
    </w:p>
    <w:p w14:paraId="60EF47B0" w14:textId="77777777" w:rsidR="001C137C" w:rsidRPr="009D56B1" w:rsidRDefault="001C137C" w:rsidP="001C137C">
      <w:pPr>
        <w:pStyle w:val="Header"/>
        <w:rPr>
          <w:bCs/>
          <w:noProof w:val="0"/>
          <w:sz w:val="24"/>
          <w:lang w:eastAsia="ja-JP"/>
        </w:rPr>
      </w:pPr>
    </w:p>
    <w:p w14:paraId="60EF47B1" w14:textId="77777777" w:rsidR="001C137C" w:rsidRPr="009D56B1" w:rsidRDefault="001C137C" w:rsidP="001C137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910B7A">
        <w:rPr>
          <w:rFonts w:cs="Arial"/>
          <w:b/>
          <w:bCs/>
          <w:sz w:val="24"/>
          <w:lang w:val="en-US"/>
        </w:rPr>
        <w:t>9.10.2</w:t>
      </w:r>
    </w:p>
    <w:p w14:paraId="60EF47B2" w14:textId="77777777" w:rsidR="001C137C" w:rsidRPr="009D56B1" w:rsidRDefault="001C137C" w:rsidP="001C137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60EF47B3" w14:textId="0948364A" w:rsidR="001C137C" w:rsidRPr="009D56B1" w:rsidRDefault="001C137C" w:rsidP="001C137C">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804828">
        <w:rPr>
          <w:rFonts w:ascii="Arial" w:hAnsi="Arial" w:cs="Arial"/>
          <w:b/>
          <w:bCs/>
          <w:sz w:val="24"/>
        </w:rPr>
        <w:t>Carrier Selection for CA over PC5</w:t>
      </w:r>
    </w:p>
    <w:p w14:paraId="60EF47B4" w14:textId="77777777" w:rsidR="001C137C" w:rsidRPr="009D56B1" w:rsidRDefault="001C137C" w:rsidP="001C137C">
      <w:pPr>
        <w:rPr>
          <w:rFonts w:ascii="Arial" w:hAnsi="Arial" w:cs="Arial"/>
          <w:b/>
          <w:bCs/>
          <w:sz w:val="24"/>
          <w:lang w:eastAsia="zh-CN"/>
        </w:rPr>
      </w:pPr>
      <w:r w:rsidRPr="009D56B1">
        <w:rPr>
          <w:rFonts w:ascii="Arial" w:hAnsi="Arial" w:cs="Arial"/>
          <w:b/>
          <w:bCs/>
          <w:sz w:val="24"/>
        </w:rPr>
        <w:t>Docum</w:t>
      </w:r>
      <w:r w:rsidR="00BB4A45">
        <w:rPr>
          <w:rFonts w:ascii="Arial" w:hAnsi="Arial" w:cs="Arial"/>
          <w:b/>
          <w:bCs/>
          <w:sz w:val="24"/>
        </w:rPr>
        <w:t>ent for:</w:t>
      </w:r>
      <w:r w:rsidR="00BB4A45">
        <w:rPr>
          <w:rFonts w:ascii="Arial" w:hAnsi="Arial" w:cs="Arial"/>
          <w:b/>
          <w:bCs/>
          <w:sz w:val="24"/>
        </w:rPr>
        <w:tab/>
        <w:t>Discussion</w:t>
      </w:r>
    </w:p>
    <w:p w14:paraId="60EF47B5" w14:textId="77777777" w:rsidR="008669B1" w:rsidRPr="00E0063E" w:rsidRDefault="008669B1" w:rsidP="006D136D">
      <w:pPr>
        <w:pStyle w:val="Tdoc"/>
        <w:ind w:left="0" w:firstLine="0"/>
      </w:pPr>
      <w:r w:rsidRPr="00E0063E">
        <w:t>Introduction</w:t>
      </w:r>
      <w:r w:rsidRPr="00E0063E">
        <w:rPr>
          <w:lang w:val="en-GB"/>
        </w:rPr>
        <w:t xml:space="preserve">  </w:t>
      </w:r>
    </w:p>
    <w:p w14:paraId="7F19BBE6" w14:textId="61C42781" w:rsidR="002115B0" w:rsidRPr="001C137C" w:rsidRDefault="00255CB1" w:rsidP="001C137C">
      <w:pPr>
        <w:overflowPunct w:val="0"/>
        <w:autoSpaceDE w:val="0"/>
        <w:autoSpaceDN w:val="0"/>
        <w:adjustRightInd w:val="0"/>
        <w:spacing w:after="180" w:line="240" w:lineRule="auto"/>
        <w:textAlignment w:val="baseline"/>
        <w:rPr>
          <w:rFonts w:ascii="Times New Roman" w:hAnsi="Times New Roman"/>
          <w:sz w:val="20"/>
          <w:szCs w:val="20"/>
          <w:lang w:eastAsia="ja-JP"/>
        </w:rPr>
      </w:pPr>
      <w:r>
        <w:rPr>
          <w:rFonts w:ascii="Times New Roman" w:hAnsi="Times New Roman"/>
          <w:sz w:val="20"/>
          <w:szCs w:val="20"/>
          <w:lang w:eastAsia="zh-CN"/>
        </w:rPr>
        <w:t>In this contribution, we look at aspects related to the discussion of selection of TX carriers for CA that was initiated in the last RAN2 meeting and present our views on when this selection procedure should be performed.</w:t>
      </w:r>
      <w:r w:rsidR="004A0A9B">
        <w:rPr>
          <w:rFonts w:ascii="Times New Roman" w:hAnsi="Times New Roman"/>
          <w:sz w:val="20"/>
          <w:szCs w:val="20"/>
          <w:lang w:eastAsia="zh-CN"/>
        </w:rPr>
        <w:t xml:space="preserve"> We also discuss the concept of configuration of resource pools to SL carriers.</w:t>
      </w:r>
    </w:p>
    <w:p w14:paraId="60EF47C1" w14:textId="77777777" w:rsidR="001C137C" w:rsidRDefault="006242D5" w:rsidP="00DA3465">
      <w:pPr>
        <w:pStyle w:val="Tdoc"/>
        <w:ind w:left="0" w:firstLine="0"/>
      </w:pPr>
      <w:r>
        <w:t>Discussion</w:t>
      </w:r>
    </w:p>
    <w:p w14:paraId="7E5DBD28" w14:textId="3182516D" w:rsidR="00F9599A" w:rsidRPr="00F9599A" w:rsidRDefault="00F9599A" w:rsidP="00F9599A">
      <w:pPr>
        <w:widowControl w:val="0"/>
        <w:tabs>
          <w:tab w:val="left" w:pos="907"/>
        </w:tabs>
        <w:spacing w:before="240" w:after="60" w:line="240" w:lineRule="auto"/>
        <w:ind w:left="907" w:hanging="907"/>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2.1</w:t>
      </w:r>
      <w:r w:rsidRPr="00F9599A">
        <w:rPr>
          <w:rFonts w:ascii="Arial" w:eastAsia="MS Mincho" w:hAnsi="Arial" w:cs="Arial"/>
          <w:bCs/>
          <w:sz w:val="26"/>
          <w:szCs w:val="26"/>
          <w:lang w:val="en-GB" w:eastAsia="en-GB"/>
        </w:rPr>
        <w:tab/>
      </w:r>
      <w:r w:rsidR="00B30016">
        <w:rPr>
          <w:rFonts w:ascii="Arial" w:eastAsia="MS Mincho" w:hAnsi="Arial" w:cs="Arial"/>
          <w:bCs/>
          <w:sz w:val="26"/>
          <w:szCs w:val="26"/>
          <w:lang w:val="en-GB" w:eastAsia="en-GB"/>
        </w:rPr>
        <w:t>Resource Pool Configuration</w:t>
      </w:r>
    </w:p>
    <w:p w14:paraId="704B5FF4" w14:textId="27CD4760" w:rsidR="0001057A" w:rsidRDefault="00ED1FDD" w:rsidP="00ED1FDD">
      <w:pPr>
        <w:spacing w:before="240"/>
        <w:rPr>
          <w:rFonts w:ascii="Times New Roman" w:hAnsi="Times New Roman"/>
          <w:sz w:val="20"/>
        </w:rPr>
      </w:pPr>
      <w:r>
        <w:rPr>
          <w:rFonts w:ascii="Times New Roman" w:hAnsi="Times New Roman"/>
          <w:sz w:val="20"/>
        </w:rPr>
        <w:t>With the consideration of the transmission over multiple component carriers in Rel-15 V2X CA, a related aspect is how the resource pools are configured with respect to different component carriers</w:t>
      </w:r>
      <w:r w:rsidR="0001057A">
        <w:rPr>
          <w:rFonts w:ascii="Times New Roman" w:hAnsi="Times New Roman"/>
          <w:sz w:val="20"/>
        </w:rPr>
        <w:t xml:space="preserve"> and whether the sensing/resource reselection is performed per resource pool independently. </w:t>
      </w:r>
    </w:p>
    <w:p w14:paraId="2807B7FF" w14:textId="5F65A2CD" w:rsidR="0001057A" w:rsidRDefault="0001057A" w:rsidP="00ED1FDD">
      <w:pPr>
        <w:spacing w:before="240"/>
        <w:rPr>
          <w:rFonts w:ascii="Times New Roman" w:hAnsi="Times New Roman"/>
          <w:sz w:val="20"/>
        </w:rPr>
      </w:pPr>
      <w:r>
        <w:rPr>
          <w:rFonts w:ascii="Times New Roman" w:hAnsi="Times New Roman"/>
          <w:sz w:val="20"/>
        </w:rPr>
        <w:t>RAN2 made the following agreements last meeting</w:t>
      </w:r>
      <w:r w:rsidR="00C837CB">
        <w:rPr>
          <w:rFonts w:ascii="Times New Roman" w:hAnsi="Times New Roman"/>
          <w:sz w:val="20"/>
        </w:rPr>
        <w:t xml:space="preserve"> regarding Rel-15 V2X</w:t>
      </w:r>
      <w:r w:rsidR="00D8392B">
        <w:rPr>
          <w:rFonts w:ascii="Times New Roman" w:hAnsi="Times New Roman"/>
          <w:sz w:val="20"/>
        </w:rPr>
        <w:t xml:space="preserve"> </w:t>
      </w:r>
      <w:sdt>
        <w:sdtPr>
          <w:rPr>
            <w:rFonts w:ascii="Times New Roman" w:hAnsi="Times New Roman"/>
            <w:sz w:val="20"/>
          </w:rPr>
          <w:id w:val="-1600870364"/>
          <w:citation/>
        </w:sdtPr>
        <w:sdtEndPr/>
        <w:sdtContent>
          <w:r w:rsidR="00F22784">
            <w:rPr>
              <w:rFonts w:ascii="Times New Roman" w:hAnsi="Times New Roman"/>
              <w:sz w:val="20"/>
            </w:rPr>
            <w:fldChar w:fldCharType="begin"/>
          </w:r>
          <w:r w:rsidR="00F22784">
            <w:rPr>
              <w:rFonts w:ascii="Times New Roman" w:hAnsi="Times New Roman"/>
              <w:sz w:val="20"/>
            </w:rPr>
            <w:instrText xml:space="preserve"> CITATION eV2x \l 1033 </w:instrText>
          </w:r>
          <w:r w:rsidR="00F22784">
            <w:rPr>
              <w:rFonts w:ascii="Times New Roman" w:hAnsi="Times New Roman"/>
              <w:sz w:val="20"/>
            </w:rPr>
            <w:fldChar w:fldCharType="separate"/>
          </w:r>
          <w:r w:rsidR="00F22784" w:rsidRPr="00F22784">
            <w:rPr>
              <w:rFonts w:ascii="Times New Roman" w:hAnsi="Times New Roman"/>
              <w:noProof/>
              <w:sz w:val="20"/>
            </w:rPr>
            <w:t>[1]</w:t>
          </w:r>
          <w:r w:rsidR="00F22784">
            <w:rPr>
              <w:rFonts w:ascii="Times New Roman" w:hAnsi="Times New Roman"/>
              <w:sz w:val="20"/>
            </w:rPr>
            <w:fldChar w:fldCharType="end"/>
          </w:r>
        </w:sdtContent>
      </w:sdt>
      <w:r>
        <w:rPr>
          <w:rFonts w:ascii="Times New Roman" w:hAnsi="Times New Roman"/>
          <w:sz w:val="20"/>
        </w:rPr>
        <w:t>:</w:t>
      </w:r>
    </w:p>
    <w:tbl>
      <w:tblPr>
        <w:tblStyle w:val="TableGrid"/>
        <w:tblW w:w="0" w:type="auto"/>
        <w:tblLook w:val="04A0" w:firstRow="1" w:lastRow="0" w:firstColumn="1" w:lastColumn="0" w:noHBand="0" w:noVBand="1"/>
      </w:tblPr>
      <w:tblGrid>
        <w:gridCol w:w="9629"/>
      </w:tblGrid>
      <w:tr w:rsidR="0001057A" w14:paraId="5FF17E0F" w14:textId="77777777" w:rsidTr="0001057A">
        <w:tc>
          <w:tcPr>
            <w:tcW w:w="9629" w:type="dxa"/>
          </w:tcPr>
          <w:p w14:paraId="51CB9EF0" w14:textId="77777777" w:rsidR="0001057A" w:rsidRDefault="0001057A" w:rsidP="0001057A">
            <w:pPr>
              <w:spacing w:before="60"/>
              <w:ind w:left="1259" w:hanging="1259"/>
              <w:rPr>
                <w:noProof/>
              </w:rPr>
            </w:pPr>
            <w:r>
              <w:rPr>
                <w:noProof/>
              </w:rPr>
              <w:t>=&gt; A SL HARQ entity per SL carrier</w:t>
            </w:r>
          </w:p>
          <w:p w14:paraId="2A2EC969" w14:textId="28EA7E00" w:rsidR="0001057A" w:rsidRDefault="0001057A" w:rsidP="00ED1FDD">
            <w:pPr>
              <w:spacing w:before="240"/>
              <w:rPr>
                <w:rFonts w:ascii="Times New Roman" w:hAnsi="Times New Roman"/>
                <w:sz w:val="20"/>
              </w:rPr>
            </w:pPr>
            <w:r>
              <w:rPr>
                <w:noProof/>
              </w:rPr>
              <w:t xml:space="preserve">=&gt; </w:t>
            </w:r>
            <w:r w:rsidRPr="009971AA">
              <w:rPr>
                <w:noProof/>
              </w:rPr>
              <w:t>A sidelink HARQ entity is in charge to perform selection/reselection of transmitting resources according to the sensing results of the associated sidelink component carrier.</w:t>
            </w:r>
          </w:p>
        </w:tc>
      </w:tr>
    </w:tbl>
    <w:p w14:paraId="6E7CB9C0" w14:textId="70851F95" w:rsidR="00975EB9" w:rsidRDefault="0001057A" w:rsidP="00ED1FDD">
      <w:pPr>
        <w:spacing w:before="240"/>
        <w:rPr>
          <w:rFonts w:ascii="Times New Roman" w:hAnsi="Times New Roman"/>
          <w:sz w:val="20"/>
        </w:rPr>
      </w:pPr>
      <w:r>
        <w:rPr>
          <w:rFonts w:ascii="Times New Roman" w:hAnsi="Times New Roman"/>
          <w:sz w:val="20"/>
        </w:rPr>
        <w:t xml:space="preserve">It can be inferred from the above set of agreements that per-carrier independent sensing and resource reselection procedure is supported, based on Rel-14. </w:t>
      </w:r>
      <w:r w:rsidR="00975EB9">
        <w:rPr>
          <w:rFonts w:ascii="Times New Roman" w:hAnsi="Times New Roman"/>
          <w:sz w:val="20"/>
        </w:rPr>
        <w:t xml:space="preserve">However, it is not yet clear if the case of joint sensing resource selection across multiple carriers is precluded. While it is </w:t>
      </w:r>
      <w:r w:rsidR="00C51289">
        <w:rPr>
          <w:rFonts w:ascii="Times New Roman" w:hAnsi="Times New Roman"/>
          <w:sz w:val="20"/>
        </w:rPr>
        <w:t>s</w:t>
      </w:r>
      <w:r w:rsidR="00975EB9">
        <w:rPr>
          <w:rFonts w:ascii="Times New Roman" w:hAnsi="Times New Roman"/>
          <w:sz w:val="20"/>
        </w:rPr>
        <w:t>till FFS in RAN1</w:t>
      </w:r>
      <w:r w:rsidR="00B75750">
        <w:rPr>
          <w:rFonts w:ascii="Times New Roman" w:hAnsi="Times New Roman"/>
          <w:sz w:val="20"/>
        </w:rPr>
        <w:t xml:space="preserve"> </w:t>
      </w:r>
      <w:sdt>
        <w:sdtPr>
          <w:rPr>
            <w:rFonts w:ascii="Times New Roman" w:hAnsi="Times New Roman"/>
            <w:sz w:val="20"/>
          </w:rPr>
          <w:id w:val="1699049821"/>
          <w:citation/>
        </w:sdtPr>
        <w:sdtEndPr/>
        <w:sdtContent>
          <w:r w:rsidR="00E47E11">
            <w:rPr>
              <w:rFonts w:ascii="Times New Roman" w:hAnsi="Times New Roman"/>
              <w:sz w:val="20"/>
            </w:rPr>
            <w:fldChar w:fldCharType="begin"/>
          </w:r>
          <w:r w:rsidR="00E47E11">
            <w:rPr>
              <w:rFonts w:ascii="Times New Roman" w:hAnsi="Times New Roman"/>
              <w:sz w:val="20"/>
            </w:rPr>
            <w:instrText xml:space="preserve"> CITATION RAN1V2x \l 1033 </w:instrText>
          </w:r>
          <w:r w:rsidR="00E47E11">
            <w:rPr>
              <w:rFonts w:ascii="Times New Roman" w:hAnsi="Times New Roman"/>
              <w:sz w:val="20"/>
            </w:rPr>
            <w:fldChar w:fldCharType="separate"/>
          </w:r>
          <w:r w:rsidR="00E47E11" w:rsidRPr="00E47E11">
            <w:rPr>
              <w:rFonts w:ascii="Times New Roman" w:hAnsi="Times New Roman"/>
              <w:noProof/>
              <w:sz w:val="20"/>
            </w:rPr>
            <w:t>[2]</w:t>
          </w:r>
          <w:r w:rsidR="00E47E11">
            <w:rPr>
              <w:rFonts w:ascii="Times New Roman" w:hAnsi="Times New Roman"/>
              <w:sz w:val="20"/>
            </w:rPr>
            <w:fldChar w:fldCharType="end"/>
          </w:r>
        </w:sdtContent>
      </w:sdt>
      <w:r w:rsidR="00CD39A2">
        <w:rPr>
          <w:rFonts w:ascii="Times New Roman" w:hAnsi="Times New Roman"/>
          <w:sz w:val="20"/>
        </w:rPr>
        <w:t>,</w:t>
      </w:r>
      <w:r w:rsidR="00E47E11">
        <w:rPr>
          <w:rFonts w:ascii="Times New Roman" w:hAnsi="Times New Roman"/>
          <w:sz w:val="20"/>
        </w:rPr>
        <w:t xml:space="preserve"> </w:t>
      </w:r>
      <w:r w:rsidR="00975EB9">
        <w:rPr>
          <w:rFonts w:ascii="Times New Roman" w:hAnsi="Times New Roman"/>
          <w:sz w:val="20"/>
        </w:rPr>
        <w:t xml:space="preserve">from RAN2 point of view, </w:t>
      </w:r>
      <w:r w:rsidR="00EC7671">
        <w:rPr>
          <w:rFonts w:ascii="Times New Roman" w:hAnsi="Times New Roman"/>
          <w:sz w:val="20"/>
        </w:rPr>
        <w:t>there is no evident</w:t>
      </w:r>
      <w:r w:rsidR="00975EB9">
        <w:rPr>
          <w:rFonts w:ascii="Times New Roman" w:hAnsi="Times New Roman"/>
          <w:sz w:val="20"/>
        </w:rPr>
        <w:t xml:space="preserve"> motivation </w:t>
      </w:r>
      <w:r w:rsidR="00EC7671">
        <w:rPr>
          <w:rFonts w:ascii="Times New Roman" w:hAnsi="Times New Roman"/>
          <w:sz w:val="20"/>
        </w:rPr>
        <w:t xml:space="preserve">or benefit </w:t>
      </w:r>
      <w:r w:rsidR="00975EB9">
        <w:rPr>
          <w:rFonts w:ascii="Times New Roman" w:hAnsi="Times New Roman"/>
          <w:sz w:val="20"/>
        </w:rPr>
        <w:t>for this joint sensing/resource selection operation</w:t>
      </w:r>
      <w:r w:rsidR="00EA3C14">
        <w:rPr>
          <w:rFonts w:ascii="Times New Roman" w:hAnsi="Times New Roman"/>
          <w:sz w:val="20"/>
        </w:rPr>
        <w:t xml:space="preserve"> considering the potential complexity in specification and implementation</w:t>
      </w:r>
      <w:r w:rsidR="00975EB9">
        <w:rPr>
          <w:rFonts w:ascii="Times New Roman" w:hAnsi="Times New Roman"/>
          <w:sz w:val="20"/>
        </w:rPr>
        <w:t xml:space="preserve">. RAN2 </w:t>
      </w:r>
      <w:r w:rsidR="00EC7671">
        <w:rPr>
          <w:rFonts w:ascii="Times New Roman" w:hAnsi="Times New Roman"/>
          <w:sz w:val="20"/>
        </w:rPr>
        <w:t xml:space="preserve">should discuss and conclude </w:t>
      </w:r>
      <w:r w:rsidR="00975EB9">
        <w:rPr>
          <w:rFonts w:ascii="Times New Roman" w:hAnsi="Times New Roman"/>
          <w:sz w:val="20"/>
        </w:rPr>
        <w:t>if we need to consider this case for Rel-15 V2X.</w:t>
      </w:r>
    </w:p>
    <w:p w14:paraId="525007F1" w14:textId="665F0BEB" w:rsidR="00EC7671" w:rsidRPr="00EC7671" w:rsidRDefault="00EC7671" w:rsidP="00EC7671">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00E05231">
        <w:rPr>
          <w:rFonts w:ascii="Times New Roman" w:eastAsia="Times New Roman" w:hAnsi="Times New Roman"/>
          <w:bCs/>
          <w:i/>
          <w:sz w:val="20"/>
          <w:szCs w:val="20"/>
          <w:lang w:val="en-GB" w:eastAsia="zh-CN"/>
        </w:rPr>
        <w:t xml:space="preserve">The </w:t>
      </w:r>
      <w:r>
        <w:rPr>
          <w:rFonts w:ascii="Times New Roman" w:eastAsia="Times New Roman" w:hAnsi="Times New Roman"/>
          <w:bCs/>
          <w:i/>
          <w:sz w:val="20"/>
          <w:szCs w:val="20"/>
          <w:lang w:val="en-GB" w:eastAsia="zh-CN"/>
        </w:rPr>
        <w:t>case of joint sensing</w:t>
      </w:r>
      <w:r w:rsidR="007B4FBE">
        <w:rPr>
          <w:rFonts w:ascii="Times New Roman" w:eastAsia="Times New Roman" w:hAnsi="Times New Roman"/>
          <w:bCs/>
          <w:i/>
          <w:sz w:val="20"/>
          <w:szCs w:val="20"/>
          <w:lang w:val="en-GB" w:eastAsia="zh-CN"/>
        </w:rPr>
        <w:t xml:space="preserve"> and </w:t>
      </w:r>
      <w:r>
        <w:rPr>
          <w:rFonts w:ascii="Times New Roman" w:eastAsia="Times New Roman" w:hAnsi="Times New Roman"/>
          <w:bCs/>
          <w:i/>
          <w:sz w:val="20"/>
          <w:szCs w:val="20"/>
          <w:lang w:val="en-GB" w:eastAsia="zh-CN"/>
        </w:rPr>
        <w:t xml:space="preserve">resource selection across multiple carriers </w:t>
      </w:r>
      <w:r w:rsidR="00E731EB">
        <w:rPr>
          <w:rFonts w:ascii="Times New Roman" w:eastAsia="Times New Roman" w:hAnsi="Times New Roman"/>
          <w:bCs/>
          <w:i/>
          <w:sz w:val="20"/>
          <w:szCs w:val="20"/>
          <w:lang w:val="en-GB" w:eastAsia="zh-CN"/>
        </w:rPr>
        <w:t xml:space="preserve">is not </w:t>
      </w:r>
      <w:r w:rsidR="00180FB1">
        <w:rPr>
          <w:rFonts w:ascii="Times New Roman" w:eastAsia="Times New Roman" w:hAnsi="Times New Roman"/>
          <w:bCs/>
          <w:i/>
          <w:sz w:val="20"/>
          <w:szCs w:val="20"/>
          <w:lang w:val="en-GB" w:eastAsia="zh-CN"/>
        </w:rPr>
        <w:t>supported</w:t>
      </w:r>
      <w:r w:rsidR="00E731EB">
        <w:rPr>
          <w:rFonts w:ascii="Times New Roman" w:eastAsia="Times New Roman" w:hAnsi="Times New Roman"/>
          <w:bCs/>
          <w:i/>
          <w:sz w:val="20"/>
          <w:szCs w:val="20"/>
          <w:lang w:val="en-GB" w:eastAsia="zh-CN"/>
        </w:rPr>
        <w:t xml:space="preserve"> </w:t>
      </w:r>
      <w:r w:rsidR="00D52161">
        <w:rPr>
          <w:rFonts w:ascii="Times New Roman" w:eastAsia="Times New Roman" w:hAnsi="Times New Roman"/>
          <w:bCs/>
          <w:i/>
          <w:sz w:val="20"/>
          <w:szCs w:val="20"/>
          <w:lang w:val="en-GB" w:eastAsia="zh-CN"/>
        </w:rPr>
        <w:t>in</w:t>
      </w:r>
      <w:r>
        <w:rPr>
          <w:rFonts w:ascii="Times New Roman" w:eastAsia="Times New Roman" w:hAnsi="Times New Roman"/>
          <w:bCs/>
          <w:i/>
          <w:sz w:val="20"/>
          <w:szCs w:val="20"/>
          <w:lang w:val="en-GB" w:eastAsia="zh-CN"/>
        </w:rPr>
        <w:t xml:space="preserve"> Rel-15 V2X.</w:t>
      </w:r>
    </w:p>
    <w:p w14:paraId="60EF47C3" w14:textId="25434ED3" w:rsidR="006F53D1" w:rsidRDefault="00EC7671" w:rsidP="00ED1FDD">
      <w:pPr>
        <w:spacing w:before="240"/>
        <w:rPr>
          <w:rFonts w:ascii="Times New Roman" w:hAnsi="Times New Roman"/>
          <w:sz w:val="20"/>
        </w:rPr>
      </w:pPr>
      <w:r>
        <w:rPr>
          <w:rFonts w:ascii="Times New Roman" w:hAnsi="Times New Roman"/>
          <w:sz w:val="20"/>
        </w:rPr>
        <w:t xml:space="preserve">As discussed above, the </w:t>
      </w:r>
      <w:r w:rsidR="00630D2F">
        <w:rPr>
          <w:rFonts w:ascii="Times New Roman" w:hAnsi="Times New Roman"/>
          <w:sz w:val="20"/>
        </w:rPr>
        <w:t xml:space="preserve">other question </w:t>
      </w:r>
      <w:r>
        <w:rPr>
          <w:rFonts w:ascii="Times New Roman" w:hAnsi="Times New Roman"/>
          <w:sz w:val="20"/>
        </w:rPr>
        <w:t xml:space="preserve">is </w:t>
      </w:r>
      <w:r w:rsidR="0001057A">
        <w:rPr>
          <w:rFonts w:ascii="Times New Roman" w:hAnsi="Times New Roman"/>
          <w:sz w:val="20"/>
        </w:rPr>
        <w:t xml:space="preserve">whether a single resource pool is associated to a single, unique SL carrier or </w:t>
      </w:r>
      <w:r w:rsidR="00E05231">
        <w:rPr>
          <w:rFonts w:ascii="Times New Roman" w:hAnsi="Times New Roman"/>
          <w:sz w:val="20"/>
        </w:rPr>
        <w:t xml:space="preserve">whether it </w:t>
      </w:r>
      <w:r w:rsidR="0001057A">
        <w:rPr>
          <w:rFonts w:ascii="Times New Roman" w:hAnsi="Times New Roman"/>
          <w:sz w:val="20"/>
        </w:rPr>
        <w:t>spans across multiple carriers</w:t>
      </w:r>
      <w:r w:rsidR="00ED1FDD">
        <w:rPr>
          <w:rFonts w:ascii="Times New Roman" w:hAnsi="Times New Roman"/>
          <w:sz w:val="20"/>
        </w:rPr>
        <w:t xml:space="preserve">. In Rel-14 V2X, each resource pool is associated to a particular carrier frequency. </w:t>
      </w:r>
      <w:r w:rsidR="00975EB9">
        <w:rPr>
          <w:rFonts w:ascii="Times New Roman" w:hAnsi="Times New Roman"/>
          <w:sz w:val="20"/>
        </w:rPr>
        <w:t>So, the most straightforw</w:t>
      </w:r>
      <w:r w:rsidR="00C8413B">
        <w:rPr>
          <w:rFonts w:ascii="Times New Roman" w:hAnsi="Times New Roman"/>
          <w:sz w:val="20"/>
        </w:rPr>
        <w:t>ard option would be to follow</w:t>
      </w:r>
      <w:r w:rsidR="00975EB9">
        <w:rPr>
          <w:rFonts w:ascii="Times New Roman" w:hAnsi="Times New Roman"/>
          <w:sz w:val="20"/>
        </w:rPr>
        <w:t xml:space="preserve"> Rel-14 </w:t>
      </w:r>
      <w:r>
        <w:rPr>
          <w:rFonts w:ascii="Times New Roman" w:hAnsi="Times New Roman"/>
          <w:sz w:val="20"/>
        </w:rPr>
        <w:t>functionality</w:t>
      </w:r>
      <w:r w:rsidR="00975EB9">
        <w:rPr>
          <w:rFonts w:ascii="Times New Roman" w:hAnsi="Times New Roman"/>
          <w:sz w:val="20"/>
        </w:rPr>
        <w:t xml:space="preserve">, </w:t>
      </w:r>
      <w:r w:rsidR="00327883">
        <w:rPr>
          <w:rFonts w:ascii="Times New Roman" w:hAnsi="Times New Roman"/>
          <w:sz w:val="20"/>
        </w:rPr>
        <w:t>i.e.</w:t>
      </w:r>
      <w:r w:rsidR="00975EB9">
        <w:rPr>
          <w:rFonts w:ascii="Times New Roman" w:hAnsi="Times New Roman"/>
          <w:sz w:val="20"/>
        </w:rPr>
        <w:t xml:space="preserve"> each CC is now associated to a different resource pool. UE can be informed of this association via broadcast or dedicated signaling. </w:t>
      </w:r>
      <w:r>
        <w:rPr>
          <w:rFonts w:ascii="Times New Roman" w:hAnsi="Times New Roman"/>
          <w:sz w:val="20"/>
        </w:rPr>
        <w:t xml:space="preserve">This also minimizes conflict with Rel-14 operation. </w:t>
      </w:r>
      <w:r w:rsidR="00975EB9">
        <w:rPr>
          <w:rFonts w:ascii="Times New Roman" w:hAnsi="Times New Roman"/>
          <w:sz w:val="20"/>
        </w:rPr>
        <w:t xml:space="preserve">The other alternative is to associate a single resource pool to multiple component carriers. In this case, </w:t>
      </w:r>
      <w:r w:rsidR="00574C96">
        <w:rPr>
          <w:rFonts w:ascii="Times New Roman" w:hAnsi="Times New Roman"/>
          <w:sz w:val="20"/>
        </w:rPr>
        <w:t>once it choose</w:t>
      </w:r>
      <w:r w:rsidR="00E05231">
        <w:rPr>
          <w:rFonts w:ascii="Times New Roman" w:hAnsi="Times New Roman"/>
          <w:sz w:val="20"/>
        </w:rPr>
        <w:t>s</w:t>
      </w:r>
      <w:r w:rsidR="00574C96">
        <w:rPr>
          <w:rFonts w:ascii="Times New Roman" w:hAnsi="Times New Roman"/>
          <w:sz w:val="20"/>
        </w:rPr>
        <w:t xml:space="preserve"> a particular resource pool for transmission, </w:t>
      </w:r>
      <w:r w:rsidR="00975EB9">
        <w:rPr>
          <w:rFonts w:ascii="Times New Roman" w:hAnsi="Times New Roman"/>
          <w:sz w:val="20"/>
        </w:rPr>
        <w:t xml:space="preserve">the UE may have to perform transmission within one pool over different CCs, which </w:t>
      </w:r>
      <w:r>
        <w:rPr>
          <w:rFonts w:ascii="Times New Roman" w:hAnsi="Times New Roman"/>
          <w:sz w:val="20"/>
        </w:rPr>
        <w:t xml:space="preserve">would </w:t>
      </w:r>
      <w:r w:rsidR="00574C96">
        <w:rPr>
          <w:rFonts w:ascii="Times New Roman" w:hAnsi="Times New Roman"/>
          <w:sz w:val="20"/>
        </w:rPr>
        <w:t>significantly</w:t>
      </w:r>
      <w:r>
        <w:rPr>
          <w:rFonts w:ascii="Times New Roman" w:hAnsi="Times New Roman"/>
          <w:sz w:val="20"/>
        </w:rPr>
        <w:t xml:space="preserve"> detract from Rel-14 behavior</w:t>
      </w:r>
      <w:r w:rsidR="00574C96">
        <w:rPr>
          <w:rFonts w:ascii="Times New Roman" w:hAnsi="Times New Roman"/>
          <w:sz w:val="20"/>
        </w:rPr>
        <w:t>, have increased complexity and not reap</w:t>
      </w:r>
      <w:r w:rsidR="00E05231">
        <w:rPr>
          <w:rFonts w:ascii="Times New Roman" w:hAnsi="Times New Roman"/>
          <w:sz w:val="20"/>
        </w:rPr>
        <w:t xml:space="preserve"> any justifiable</w:t>
      </w:r>
      <w:r>
        <w:rPr>
          <w:rFonts w:ascii="Times New Roman" w:hAnsi="Times New Roman"/>
          <w:sz w:val="20"/>
        </w:rPr>
        <w:t xml:space="preserve"> benefits. So, we propose to specify one-to-one association between SL carriers and resource pools</w:t>
      </w:r>
      <w:r w:rsidR="00E96ECD">
        <w:rPr>
          <w:rFonts w:ascii="Times New Roman" w:hAnsi="Times New Roman"/>
          <w:sz w:val="20"/>
        </w:rPr>
        <w:t>.</w:t>
      </w:r>
    </w:p>
    <w:p w14:paraId="28D47D9A" w14:textId="6C8896CE" w:rsidR="001F5F0A" w:rsidRDefault="001F5F0A" w:rsidP="001F5F0A">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w:t>
      </w:r>
      <w:r w:rsidR="007B4FBE">
        <w:rPr>
          <w:rFonts w:ascii="Times New Roman" w:eastAsia="Times New Roman" w:hAnsi="Times New Roman"/>
          <w:b/>
          <w:bCs/>
          <w:sz w:val="20"/>
          <w:szCs w:val="20"/>
          <w:u w:val="single"/>
          <w:lang w:val="en-GB" w:eastAsia="zh-CN"/>
        </w:rPr>
        <w:t>roposal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00EC7671">
        <w:rPr>
          <w:rFonts w:ascii="Times New Roman" w:eastAsia="Times New Roman" w:hAnsi="Times New Roman"/>
          <w:bCs/>
          <w:i/>
          <w:sz w:val="20"/>
          <w:szCs w:val="20"/>
          <w:lang w:val="en-GB" w:eastAsia="zh-CN"/>
        </w:rPr>
        <w:t>A single resource pool is mapped to a single SL carrier, similar to Rel-14 operation.</w:t>
      </w:r>
    </w:p>
    <w:p w14:paraId="6F26D2EB" w14:textId="5BEF5BFB" w:rsidR="00197274" w:rsidRPr="00197274" w:rsidRDefault="00F9599A" w:rsidP="00197274">
      <w:pPr>
        <w:widowControl w:val="0"/>
        <w:tabs>
          <w:tab w:val="left" w:pos="907"/>
        </w:tabs>
        <w:spacing w:before="240" w:after="60" w:line="240" w:lineRule="auto"/>
        <w:ind w:left="907" w:hanging="907"/>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2.2</w:t>
      </w:r>
      <w:r w:rsidRPr="00F9599A">
        <w:rPr>
          <w:rFonts w:ascii="Arial" w:eastAsia="MS Mincho" w:hAnsi="Arial" w:cs="Arial"/>
          <w:bCs/>
          <w:sz w:val="26"/>
          <w:szCs w:val="26"/>
          <w:lang w:val="en-GB" w:eastAsia="en-GB"/>
        </w:rPr>
        <w:tab/>
      </w:r>
      <w:r w:rsidR="00B30016">
        <w:rPr>
          <w:rFonts w:ascii="Arial" w:eastAsia="MS Mincho" w:hAnsi="Arial" w:cs="Arial"/>
          <w:bCs/>
          <w:sz w:val="26"/>
          <w:szCs w:val="26"/>
          <w:lang w:val="en-GB" w:eastAsia="en-GB"/>
        </w:rPr>
        <w:t>Carrier Selection Mechanism</w:t>
      </w:r>
    </w:p>
    <w:p w14:paraId="62946BDC" w14:textId="4503B35C" w:rsidR="009522D1" w:rsidRDefault="00197274" w:rsidP="009522D1">
      <w:pPr>
        <w:spacing w:before="240"/>
        <w:rPr>
          <w:rFonts w:ascii="Times New Roman" w:hAnsi="Times New Roman"/>
          <w:sz w:val="20"/>
        </w:rPr>
      </w:pPr>
      <w:r>
        <w:rPr>
          <w:rFonts w:ascii="Times New Roman" w:hAnsi="Times New Roman"/>
          <w:sz w:val="20"/>
        </w:rPr>
        <w:t xml:space="preserve">In the last RAN2 meeting, an email discussion was initiated to get companies’ views on the carrier selection mechanism for transmission and the various factors which impact this selection procedure. </w:t>
      </w:r>
      <w:r w:rsidR="009522D1">
        <w:rPr>
          <w:rFonts w:ascii="Times New Roman" w:hAnsi="Times New Roman"/>
          <w:sz w:val="20"/>
        </w:rPr>
        <w:t xml:space="preserve">A related aspect not included in the </w:t>
      </w:r>
      <w:r w:rsidR="009522D1">
        <w:rPr>
          <w:rFonts w:ascii="Times New Roman" w:hAnsi="Times New Roman"/>
          <w:sz w:val="20"/>
        </w:rPr>
        <w:lastRenderedPageBreak/>
        <w:t>email discussion</w:t>
      </w:r>
      <w:r w:rsidR="009522D1" w:rsidRPr="009522D1">
        <w:rPr>
          <w:rFonts w:ascii="Times New Roman" w:hAnsi="Times New Roman"/>
          <w:sz w:val="20"/>
        </w:rPr>
        <w:t xml:space="preserve"> is whether the selection of a particular component carrier (CC) or set of CCs is packet specific or V2X service specific. </w:t>
      </w:r>
      <w:r w:rsidR="009522D1">
        <w:rPr>
          <w:rFonts w:ascii="Times New Roman" w:hAnsi="Times New Roman"/>
          <w:sz w:val="20"/>
        </w:rPr>
        <w:t xml:space="preserve">Put another way, when and how often this carrier selection procedure is triggered at the AS layer? </w:t>
      </w:r>
    </w:p>
    <w:p w14:paraId="39849CAD" w14:textId="63C35FE5" w:rsidR="009522D1" w:rsidRPr="009522D1" w:rsidRDefault="009522D1" w:rsidP="009522D1">
      <w:pPr>
        <w:spacing w:before="240"/>
        <w:rPr>
          <w:rFonts w:ascii="Times New Roman" w:hAnsi="Times New Roman"/>
          <w:sz w:val="20"/>
        </w:rPr>
      </w:pPr>
      <w:r w:rsidRPr="009522D1">
        <w:rPr>
          <w:rFonts w:ascii="Times New Roman" w:hAnsi="Times New Roman"/>
          <w:sz w:val="20"/>
        </w:rPr>
        <w:t xml:space="preserve">For the former case, i.e. packet specific selection of CCs, the UE can perform the selection of CCs every time a packet is passed down to the AS layer, regardless of whether it corresponds to the same service. While it may be computationally expensive, the upside is that it would allow the UE to respond to channel quality changes dynamically, even for packets with the same priority. As the channel quality or loading of a particular carrier that was deemed fit for transmission for previous packets degrades, the selection process would choose a more suitable set of CCs to be used for subsequent transmission (through sensing results), thereby reducing potential packet loss and interference with other transmissions. Similarly, for example in the case of </w:t>
      </w:r>
      <w:r>
        <w:rPr>
          <w:rFonts w:ascii="Times New Roman" w:hAnsi="Times New Roman"/>
          <w:sz w:val="20"/>
        </w:rPr>
        <w:t xml:space="preserve">advanced V2X use cases like </w:t>
      </w:r>
      <w:r w:rsidRPr="009522D1">
        <w:rPr>
          <w:rFonts w:ascii="Times New Roman" w:hAnsi="Times New Roman"/>
          <w:sz w:val="20"/>
        </w:rPr>
        <w:t xml:space="preserve">vehicle platooning, depending on how the composition of a particular platoon changes, this per packet selection of CC can respond to these changes </w:t>
      </w:r>
      <w:r>
        <w:rPr>
          <w:rFonts w:ascii="Times New Roman" w:hAnsi="Times New Roman"/>
          <w:sz w:val="20"/>
        </w:rPr>
        <w:t>more robustly</w:t>
      </w:r>
      <w:r w:rsidRPr="009522D1">
        <w:rPr>
          <w:rFonts w:ascii="Times New Roman" w:hAnsi="Times New Roman"/>
          <w:sz w:val="20"/>
        </w:rPr>
        <w:t xml:space="preserve">. On the other hand, a service specific selection strategy is a more conservative option, where the UE </w:t>
      </w:r>
      <w:r>
        <w:rPr>
          <w:rFonts w:ascii="Times New Roman" w:hAnsi="Times New Roman"/>
          <w:sz w:val="20"/>
        </w:rPr>
        <w:t>can choose</w:t>
      </w:r>
      <w:r w:rsidRPr="009522D1">
        <w:rPr>
          <w:rFonts w:ascii="Times New Roman" w:hAnsi="Times New Roman"/>
          <w:sz w:val="20"/>
        </w:rPr>
        <w:t xml:space="preserve"> the set of CCs for transmission based on the V2X service </w:t>
      </w:r>
      <w:r>
        <w:rPr>
          <w:rFonts w:ascii="Times New Roman" w:hAnsi="Times New Roman"/>
          <w:sz w:val="20"/>
        </w:rPr>
        <w:t>(</w:t>
      </w:r>
      <w:r w:rsidR="00031DC4">
        <w:rPr>
          <w:rFonts w:ascii="Times New Roman" w:hAnsi="Times New Roman"/>
          <w:sz w:val="20"/>
        </w:rPr>
        <w:t>and a set of associated priorities, if defined</w:t>
      </w:r>
      <w:r>
        <w:rPr>
          <w:rFonts w:ascii="Times New Roman" w:hAnsi="Times New Roman"/>
          <w:sz w:val="20"/>
        </w:rPr>
        <w:t xml:space="preserve">) </w:t>
      </w:r>
      <w:r w:rsidR="00031DC4">
        <w:rPr>
          <w:rFonts w:ascii="Times New Roman" w:hAnsi="Times New Roman"/>
          <w:sz w:val="20"/>
        </w:rPr>
        <w:t xml:space="preserve">semi-statically </w:t>
      </w:r>
      <w:r>
        <w:rPr>
          <w:rFonts w:ascii="Times New Roman" w:hAnsi="Times New Roman"/>
          <w:sz w:val="20"/>
        </w:rPr>
        <w:t>and</w:t>
      </w:r>
      <w:r w:rsidR="00031DC4">
        <w:rPr>
          <w:rFonts w:ascii="Times New Roman" w:hAnsi="Times New Roman"/>
          <w:sz w:val="20"/>
        </w:rPr>
        <w:t xml:space="preserve"> the</w:t>
      </w:r>
      <w:r w:rsidRPr="009522D1">
        <w:rPr>
          <w:rFonts w:ascii="Times New Roman" w:hAnsi="Times New Roman"/>
          <w:sz w:val="20"/>
        </w:rPr>
        <w:t xml:space="preserve"> packets </w:t>
      </w:r>
      <w:r>
        <w:rPr>
          <w:rFonts w:ascii="Times New Roman" w:hAnsi="Times New Roman"/>
          <w:sz w:val="20"/>
        </w:rPr>
        <w:t xml:space="preserve">subsequently </w:t>
      </w:r>
      <w:r w:rsidRPr="009522D1">
        <w:rPr>
          <w:rFonts w:ascii="Times New Roman" w:hAnsi="Times New Roman"/>
          <w:sz w:val="20"/>
        </w:rPr>
        <w:t xml:space="preserve">generated by that service would utilize the same set of CCs. </w:t>
      </w:r>
      <w:r w:rsidR="00BA2A04">
        <w:rPr>
          <w:rFonts w:ascii="Times New Roman" w:hAnsi="Times New Roman"/>
          <w:sz w:val="20"/>
        </w:rPr>
        <w:t xml:space="preserve">Of course, a combination of </w:t>
      </w:r>
      <w:r w:rsidRPr="009522D1">
        <w:rPr>
          <w:rFonts w:ascii="Times New Roman" w:hAnsi="Times New Roman"/>
          <w:sz w:val="20"/>
        </w:rPr>
        <w:t>packet specific selection and service specific selection</w:t>
      </w:r>
      <w:r w:rsidR="00BA2A04">
        <w:rPr>
          <w:rFonts w:ascii="Times New Roman" w:hAnsi="Times New Roman"/>
          <w:sz w:val="20"/>
        </w:rPr>
        <w:t xml:space="preserve"> is also possible</w:t>
      </w:r>
      <w:r w:rsidRPr="009522D1">
        <w:rPr>
          <w:rFonts w:ascii="Times New Roman" w:hAnsi="Times New Roman"/>
          <w:sz w:val="20"/>
        </w:rPr>
        <w:t xml:space="preserve">. For example, a set of CCs </w:t>
      </w:r>
      <w:r w:rsidR="00BA2A04">
        <w:rPr>
          <w:rFonts w:ascii="Times New Roman" w:hAnsi="Times New Roman"/>
          <w:sz w:val="20"/>
        </w:rPr>
        <w:t>can be initially</w:t>
      </w:r>
      <w:r w:rsidRPr="009522D1">
        <w:rPr>
          <w:rFonts w:ascii="Times New Roman" w:hAnsi="Times New Roman"/>
          <w:sz w:val="20"/>
        </w:rPr>
        <w:t xml:space="preserve"> selected</w:t>
      </w:r>
      <w:r w:rsidR="00A32D2F">
        <w:rPr>
          <w:rFonts w:ascii="Times New Roman" w:hAnsi="Times New Roman"/>
          <w:sz w:val="20"/>
        </w:rPr>
        <w:t>/narrowed down</w:t>
      </w:r>
      <w:r w:rsidRPr="009522D1">
        <w:rPr>
          <w:rFonts w:ascii="Times New Roman" w:hAnsi="Times New Roman"/>
          <w:sz w:val="20"/>
        </w:rPr>
        <w:t xml:space="preserve"> for a certain service and </w:t>
      </w:r>
      <w:r w:rsidR="00193EBE">
        <w:rPr>
          <w:rFonts w:ascii="Times New Roman" w:hAnsi="Times New Roman"/>
          <w:sz w:val="20"/>
        </w:rPr>
        <w:t xml:space="preserve">then, based on CBR, </w:t>
      </w:r>
      <w:r w:rsidR="00BA2A04">
        <w:rPr>
          <w:rFonts w:ascii="Times New Roman" w:hAnsi="Times New Roman"/>
          <w:sz w:val="20"/>
        </w:rPr>
        <w:t>PPPP for the generated packets</w:t>
      </w:r>
      <w:r w:rsidR="00193EBE">
        <w:rPr>
          <w:rFonts w:ascii="Times New Roman" w:hAnsi="Times New Roman"/>
          <w:sz w:val="20"/>
        </w:rPr>
        <w:t xml:space="preserve"> and </w:t>
      </w:r>
      <w:r w:rsidR="00273937">
        <w:rPr>
          <w:rFonts w:ascii="Times New Roman" w:hAnsi="Times New Roman"/>
          <w:sz w:val="20"/>
        </w:rPr>
        <w:t xml:space="preserve">any </w:t>
      </w:r>
      <w:r w:rsidR="00193EBE">
        <w:rPr>
          <w:rFonts w:ascii="Times New Roman" w:hAnsi="Times New Roman"/>
          <w:sz w:val="20"/>
        </w:rPr>
        <w:t xml:space="preserve">other </w:t>
      </w:r>
      <w:r w:rsidR="00273937">
        <w:rPr>
          <w:rFonts w:ascii="Times New Roman" w:hAnsi="Times New Roman"/>
          <w:sz w:val="20"/>
        </w:rPr>
        <w:t xml:space="preserve">identified </w:t>
      </w:r>
      <w:r w:rsidR="00193EBE">
        <w:rPr>
          <w:rFonts w:ascii="Times New Roman" w:hAnsi="Times New Roman"/>
          <w:sz w:val="20"/>
        </w:rPr>
        <w:t>factors</w:t>
      </w:r>
      <w:r w:rsidR="00BA2A04">
        <w:rPr>
          <w:rFonts w:ascii="Times New Roman" w:hAnsi="Times New Roman"/>
          <w:sz w:val="20"/>
        </w:rPr>
        <w:t>, CC(s) for actual transmission out of the set of applicable CCs</w:t>
      </w:r>
      <w:r w:rsidRPr="009522D1">
        <w:rPr>
          <w:rFonts w:ascii="Times New Roman" w:hAnsi="Times New Roman"/>
          <w:sz w:val="20"/>
        </w:rPr>
        <w:t xml:space="preserve"> </w:t>
      </w:r>
      <w:r w:rsidR="006A5379">
        <w:rPr>
          <w:rFonts w:ascii="Times New Roman" w:hAnsi="Times New Roman"/>
          <w:sz w:val="20"/>
        </w:rPr>
        <w:t>is/are</w:t>
      </w:r>
      <w:r w:rsidRPr="009522D1">
        <w:rPr>
          <w:rFonts w:ascii="Times New Roman" w:hAnsi="Times New Roman"/>
          <w:sz w:val="20"/>
        </w:rPr>
        <w:t xml:space="preserve"> </w:t>
      </w:r>
      <w:r w:rsidR="00BA2A04">
        <w:rPr>
          <w:rFonts w:ascii="Times New Roman" w:hAnsi="Times New Roman"/>
          <w:sz w:val="20"/>
        </w:rPr>
        <w:t>chosen for transmission</w:t>
      </w:r>
      <w:r w:rsidR="004A31E1">
        <w:rPr>
          <w:rFonts w:ascii="Times New Roman" w:hAnsi="Times New Roman"/>
          <w:sz w:val="20"/>
        </w:rPr>
        <w:t xml:space="preserve">. This also seems </w:t>
      </w:r>
      <w:r w:rsidR="00D00DDD">
        <w:rPr>
          <w:rFonts w:ascii="Times New Roman" w:hAnsi="Times New Roman"/>
          <w:sz w:val="20"/>
        </w:rPr>
        <w:t>more</w:t>
      </w:r>
      <w:r w:rsidR="004A31E1">
        <w:rPr>
          <w:rFonts w:ascii="Times New Roman" w:hAnsi="Times New Roman"/>
          <w:sz w:val="20"/>
        </w:rPr>
        <w:t xml:space="preserve"> aligned with the agreements made in RAN1#90 </w:t>
      </w:r>
      <w:sdt>
        <w:sdtPr>
          <w:rPr>
            <w:rFonts w:ascii="Times New Roman" w:hAnsi="Times New Roman"/>
            <w:sz w:val="20"/>
          </w:rPr>
          <w:id w:val="-477309809"/>
          <w:citation/>
        </w:sdtPr>
        <w:sdtEndPr/>
        <w:sdtContent>
          <w:r w:rsidR="004A31E1">
            <w:rPr>
              <w:rFonts w:ascii="Times New Roman" w:hAnsi="Times New Roman"/>
              <w:sz w:val="20"/>
            </w:rPr>
            <w:fldChar w:fldCharType="begin"/>
          </w:r>
          <w:r w:rsidR="004A31E1">
            <w:rPr>
              <w:rFonts w:ascii="Times New Roman" w:hAnsi="Times New Roman"/>
              <w:sz w:val="20"/>
            </w:rPr>
            <w:instrText xml:space="preserve"> CITATION RAN1V2x \l 1033 </w:instrText>
          </w:r>
          <w:r w:rsidR="004A31E1">
            <w:rPr>
              <w:rFonts w:ascii="Times New Roman" w:hAnsi="Times New Roman"/>
              <w:sz w:val="20"/>
            </w:rPr>
            <w:fldChar w:fldCharType="separate"/>
          </w:r>
          <w:r w:rsidR="004A31E1" w:rsidRPr="004A31E1">
            <w:rPr>
              <w:rFonts w:ascii="Times New Roman" w:hAnsi="Times New Roman"/>
              <w:noProof/>
              <w:sz w:val="20"/>
            </w:rPr>
            <w:t>[2]</w:t>
          </w:r>
          <w:r w:rsidR="004A31E1">
            <w:rPr>
              <w:rFonts w:ascii="Times New Roman" w:hAnsi="Times New Roman"/>
              <w:sz w:val="20"/>
            </w:rPr>
            <w:fldChar w:fldCharType="end"/>
          </w:r>
        </w:sdtContent>
      </w:sdt>
      <w:r w:rsidR="004A31E1">
        <w:rPr>
          <w:rFonts w:ascii="Times New Roman" w:hAnsi="Times New Roman"/>
          <w:sz w:val="20"/>
        </w:rPr>
        <w:t>.</w:t>
      </w:r>
      <w:r w:rsidR="00A32D2F">
        <w:rPr>
          <w:rFonts w:ascii="Times New Roman" w:hAnsi="Times New Roman"/>
          <w:sz w:val="20"/>
        </w:rPr>
        <w:t xml:space="preserve"> </w:t>
      </w:r>
    </w:p>
    <w:p w14:paraId="3C25209A" w14:textId="42A28268" w:rsidR="00BA2A04" w:rsidRPr="00031DC4" w:rsidRDefault="00BA2A04" w:rsidP="00031DC4">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w:t>
      </w:r>
      <w:r w:rsidR="00180FB1">
        <w:rPr>
          <w:rFonts w:ascii="Times New Roman" w:eastAsia="Times New Roman" w:hAnsi="Times New Roman"/>
          <w:b/>
          <w:bCs/>
          <w:sz w:val="20"/>
          <w:szCs w:val="20"/>
          <w:u w:val="single"/>
          <w:lang w:val="en-GB" w:eastAsia="zh-CN"/>
        </w:rPr>
        <w:t>roposal 3</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RAN2 should discuss if the CA carrier selection mechanism </w:t>
      </w:r>
      <w:r w:rsidR="00031DC4">
        <w:rPr>
          <w:rFonts w:ascii="Times New Roman" w:eastAsia="Times New Roman" w:hAnsi="Times New Roman"/>
          <w:bCs/>
          <w:i/>
          <w:sz w:val="20"/>
          <w:szCs w:val="20"/>
          <w:lang w:val="en-GB" w:eastAsia="zh-CN"/>
        </w:rPr>
        <w:t xml:space="preserve">being considered </w:t>
      </w:r>
      <w:r>
        <w:rPr>
          <w:rFonts w:ascii="Times New Roman" w:eastAsia="Times New Roman" w:hAnsi="Times New Roman"/>
          <w:bCs/>
          <w:i/>
          <w:sz w:val="20"/>
          <w:szCs w:val="20"/>
          <w:lang w:val="en-GB" w:eastAsia="zh-CN"/>
        </w:rPr>
        <w:t xml:space="preserve">for </w:t>
      </w:r>
      <w:r w:rsidR="00031DC4">
        <w:rPr>
          <w:rFonts w:ascii="Times New Roman" w:eastAsia="Times New Roman" w:hAnsi="Times New Roman"/>
          <w:bCs/>
          <w:i/>
          <w:sz w:val="20"/>
          <w:szCs w:val="20"/>
          <w:lang w:val="en-GB" w:eastAsia="zh-CN"/>
        </w:rPr>
        <w:t>Rel-15 V2X</w:t>
      </w:r>
      <w:r>
        <w:rPr>
          <w:rFonts w:ascii="Times New Roman" w:eastAsia="Times New Roman" w:hAnsi="Times New Roman"/>
          <w:bCs/>
          <w:i/>
          <w:sz w:val="20"/>
          <w:szCs w:val="20"/>
          <w:lang w:val="en-GB" w:eastAsia="zh-CN"/>
        </w:rPr>
        <w:t xml:space="preserve"> is service or packet specific.</w:t>
      </w:r>
    </w:p>
    <w:p w14:paraId="24332F4C" w14:textId="10993926" w:rsidR="00031DC4" w:rsidRDefault="00031DC4" w:rsidP="009522D1">
      <w:pPr>
        <w:spacing w:before="240"/>
        <w:rPr>
          <w:rFonts w:ascii="Times New Roman" w:hAnsi="Times New Roman"/>
          <w:sz w:val="20"/>
        </w:rPr>
      </w:pPr>
      <w:r>
        <w:rPr>
          <w:rFonts w:ascii="Times New Roman" w:hAnsi="Times New Roman"/>
          <w:sz w:val="20"/>
        </w:rPr>
        <w:t xml:space="preserve">Based on the above discussion, </w:t>
      </w:r>
      <w:r w:rsidR="007C0F9F">
        <w:rPr>
          <w:rFonts w:ascii="Times New Roman" w:hAnsi="Times New Roman"/>
          <w:sz w:val="20"/>
        </w:rPr>
        <w:t>the following</w:t>
      </w:r>
      <w:r>
        <w:rPr>
          <w:rFonts w:ascii="Times New Roman" w:hAnsi="Times New Roman"/>
          <w:sz w:val="20"/>
        </w:rPr>
        <w:t xml:space="preserve"> set of </w:t>
      </w:r>
      <w:r w:rsidR="007C0F9F">
        <w:rPr>
          <w:rFonts w:ascii="Times New Roman" w:hAnsi="Times New Roman"/>
          <w:sz w:val="20"/>
        </w:rPr>
        <w:t xml:space="preserve">scenarios or </w:t>
      </w:r>
      <w:r>
        <w:rPr>
          <w:rFonts w:ascii="Times New Roman" w:hAnsi="Times New Roman"/>
          <w:sz w:val="20"/>
        </w:rPr>
        <w:t xml:space="preserve">‘triggers’ </w:t>
      </w:r>
      <w:r w:rsidR="006650AB">
        <w:rPr>
          <w:rFonts w:ascii="Times New Roman" w:hAnsi="Times New Roman"/>
          <w:sz w:val="20"/>
        </w:rPr>
        <w:t xml:space="preserve">can be identified </w:t>
      </w:r>
      <w:r w:rsidR="00CD39A2">
        <w:rPr>
          <w:rFonts w:ascii="Times New Roman" w:hAnsi="Times New Roman"/>
          <w:sz w:val="20"/>
        </w:rPr>
        <w:t>which</w:t>
      </w:r>
      <w:r>
        <w:rPr>
          <w:rFonts w:ascii="Times New Roman" w:hAnsi="Times New Roman"/>
          <w:sz w:val="20"/>
        </w:rPr>
        <w:t xml:space="preserve"> </w:t>
      </w:r>
      <w:r w:rsidR="002E1794">
        <w:rPr>
          <w:rFonts w:ascii="Times New Roman" w:hAnsi="Times New Roman"/>
          <w:sz w:val="20"/>
        </w:rPr>
        <w:t xml:space="preserve">would </w:t>
      </w:r>
      <w:r>
        <w:rPr>
          <w:rFonts w:ascii="Times New Roman" w:hAnsi="Times New Roman"/>
          <w:sz w:val="20"/>
        </w:rPr>
        <w:t>require the AS layer to perform</w:t>
      </w:r>
      <w:r w:rsidR="0030763F">
        <w:rPr>
          <w:rFonts w:ascii="Times New Roman" w:hAnsi="Times New Roman"/>
          <w:sz w:val="20"/>
        </w:rPr>
        <w:t xml:space="preserve"> the</w:t>
      </w:r>
      <w:r>
        <w:rPr>
          <w:rFonts w:ascii="Times New Roman" w:hAnsi="Times New Roman"/>
          <w:sz w:val="20"/>
        </w:rPr>
        <w:t xml:space="preserve"> carrier selection proced</w:t>
      </w:r>
      <w:r w:rsidR="007C0F9F">
        <w:rPr>
          <w:rFonts w:ascii="Times New Roman" w:hAnsi="Times New Roman"/>
          <w:sz w:val="20"/>
        </w:rPr>
        <w:t>ure:</w:t>
      </w:r>
    </w:p>
    <w:p w14:paraId="00FF415C" w14:textId="1481F31A" w:rsidR="007C0F9F" w:rsidRPr="009522D1" w:rsidRDefault="007C0F9F" w:rsidP="002C44D9">
      <w:pPr>
        <w:numPr>
          <w:ilvl w:val="0"/>
          <w:numId w:val="13"/>
        </w:numPr>
        <w:spacing w:before="240" w:line="240" w:lineRule="auto"/>
        <w:rPr>
          <w:rFonts w:ascii="Times New Roman" w:hAnsi="Times New Roman"/>
          <w:sz w:val="20"/>
        </w:rPr>
      </w:pPr>
      <w:r w:rsidRPr="009522D1">
        <w:rPr>
          <w:rFonts w:ascii="Times New Roman" w:hAnsi="Times New Roman"/>
          <w:sz w:val="20"/>
        </w:rPr>
        <w:t xml:space="preserve">Whenever a new service </w:t>
      </w:r>
      <w:r w:rsidR="00637738">
        <w:rPr>
          <w:rFonts w:ascii="Times New Roman" w:hAnsi="Times New Roman"/>
          <w:sz w:val="20"/>
        </w:rPr>
        <w:t>initiates</w:t>
      </w:r>
      <w:r w:rsidRPr="009522D1">
        <w:rPr>
          <w:rFonts w:ascii="Times New Roman" w:hAnsi="Times New Roman"/>
          <w:sz w:val="20"/>
        </w:rPr>
        <w:t xml:space="preserve"> transmission of V2X packets over sidelink</w:t>
      </w:r>
    </w:p>
    <w:p w14:paraId="5B7B1374" w14:textId="33D27A8A" w:rsidR="007C0F9F" w:rsidRPr="009522D1" w:rsidRDefault="007C0F9F" w:rsidP="002C44D9">
      <w:pPr>
        <w:numPr>
          <w:ilvl w:val="0"/>
          <w:numId w:val="13"/>
        </w:numPr>
        <w:spacing w:before="240" w:line="240" w:lineRule="auto"/>
        <w:rPr>
          <w:rFonts w:ascii="Times New Roman" w:hAnsi="Times New Roman"/>
          <w:sz w:val="20"/>
        </w:rPr>
      </w:pPr>
      <w:r w:rsidRPr="009522D1">
        <w:rPr>
          <w:rFonts w:ascii="Times New Roman" w:hAnsi="Times New Roman"/>
          <w:sz w:val="20"/>
        </w:rPr>
        <w:t>Whenever the sensing results over applicable CCs are updated</w:t>
      </w:r>
      <w:r w:rsidR="002C44D9">
        <w:rPr>
          <w:rFonts w:ascii="Times New Roman" w:hAnsi="Times New Roman"/>
          <w:sz w:val="20"/>
        </w:rPr>
        <w:t xml:space="preserve">. In this case, based on the available results, a </w:t>
      </w:r>
      <w:r w:rsidR="00A222A8">
        <w:rPr>
          <w:rFonts w:ascii="Times New Roman" w:hAnsi="Times New Roman"/>
          <w:sz w:val="20"/>
        </w:rPr>
        <w:t>carrier may</w:t>
      </w:r>
      <w:r w:rsidR="002C44D9">
        <w:rPr>
          <w:rFonts w:ascii="Times New Roman" w:hAnsi="Times New Roman"/>
          <w:sz w:val="20"/>
        </w:rPr>
        <w:t xml:space="preserve"> be overloaded and unsuitable for transmission, thereby requiring reselection of applicable carriers.</w:t>
      </w:r>
    </w:p>
    <w:p w14:paraId="1BA6295A" w14:textId="18006853" w:rsidR="007C0F9F" w:rsidRPr="009522D1" w:rsidRDefault="007C0F9F" w:rsidP="002C44D9">
      <w:pPr>
        <w:numPr>
          <w:ilvl w:val="0"/>
          <w:numId w:val="13"/>
        </w:numPr>
        <w:spacing w:before="240" w:line="240" w:lineRule="auto"/>
        <w:rPr>
          <w:rFonts w:ascii="Times New Roman" w:hAnsi="Times New Roman"/>
          <w:sz w:val="20"/>
        </w:rPr>
      </w:pPr>
      <w:r w:rsidRPr="009522D1">
        <w:rPr>
          <w:rFonts w:ascii="Times New Roman" w:hAnsi="Times New Roman"/>
          <w:sz w:val="20"/>
        </w:rPr>
        <w:t>Based on an expl</w:t>
      </w:r>
      <w:r w:rsidR="002C44D9">
        <w:rPr>
          <w:rFonts w:ascii="Times New Roman" w:hAnsi="Times New Roman"/>
          <w:sz w:val="20"/>
        </w:rPr>
        <w:t>icit timer in the AS layer. A</w:t>
      </w:r>
      <w:r w:rsidRPr="009522D1">
        <w:rPr>
          <w:rFonts w:ascii="Times New Roman" w:hAnsi="Times New Roman"/>
          <w:sz w:val="20"/>
        </w:rPr>
        <w:t xml:space="preserve"> ce</w:t>
      </w:r>
      <w:r>
        <w:rPr>
          <w:rFonts w:ascii="Times New Roman" w:hAnsi="Times New Roman"/>
          <w:sz w:val="20"/>
        </w:rPr>
        <w:t xml:space="preserve">rtain periodicity or a timer </w:t>
      </w:r>
      <w:r w:rsidR="002C44D9">
        <w:rPr>
          <w:rFonts w:ascii="Times New Roman" w:hAnsi="Times New Roman"/>
          <w:sz w:val="20"/>
        </w:rPr>
        <w:t xml:space="preserve">can be </w:t>
      </w:r>
      <w:r w:rsidRPr="009522D1">
        <w:rPr>
          <w:rFonts w:ascii="Times New Roman" w:hAnsi="Times New Roman"/>
          <w:sz w:val="20"/>
        </w:rPr>
        <w:t xml:space="preserve">configured </w:t>
      </w:r>
      <w:r w:rsidR="002C44D9">
        <w:rPr>
          <w:rFonts w:ascii="Times New Roman" w:hAnsi="Times New Roman"/>
          <w:sz w:val="20"/>
        </w:rPr>
        <w:t xml:space="preserve">(either NW configured or up to UE implementation) </w:t>
      </w:r>
      <w:r w:rsidRPr="009522D1">
        <w:rPr>
          <w:rFonts w:ascii="Times New Roman" w:hAnsi="Times New Roman"/>
          <w:sz w:val="20"/>
        </w:rPr>
        <w:t xml:space="preserve">to control how frequently the selection process is triggered or </w:t>
      </w:r>
      <w:r>
        <w:rPr>
          <w:rFonts w:ascii="Times New Roman" w:hAnsi="Times New Roman"/>
          <w:sz w:val="20"/>
        </w:rPr>
        <w:t xml:space="preserve">how long until </w:t>
      </w:r>
      <w:r w:rsidRPr="009522D1">
        <w:rPr>
          <w:rFonts w:ascii="Times New Roman" w:hAnsi="Times New Roman"/>
          <w:sz w:val="20"/>
        </w:rPr>
        <w:t>the sel</w:t>
      </w:r>
      <w:r w:rsidR="002C44D9">
        <w:rPr>
          <w:rFonts w:ascii="Times New Roman" w:hAnsi="Times New Roman"/>
          <w:sz w:val="20"/>
        </w:rPr>
        <w:t>ected carrier is valid.</w:t>
      </w:r>
    </w:p>
    <w:p w14:paraId="40E583F5" w14:textId="54A4A9F8" w:rsidR="008B4664" w:rsidRDefault="007C0F9F" w:rsidP="008B4664">
      <w:pPr>
        <w:numPr>
          <w:ilvl w:val="0"/>
          <w:numId w:val="13"/>
        </w:numPr>
        <w:spacing w:before="240" w:line="240" w:lineRule="auto"/>
        <w:rPr>
          <w:rFonts w:ascii="Times New Roman" w:hAnsi="Times New Roman"/>
          <w:sz w:val="20"/>
        </w:rPr>
      </w:pPr>
      <w:r w:rsidRPr="009522D1">
        <w:rPr>
          <w:rFonts w:ascii="Times New Roman" w:hAnsi="Times New Roman"/>
          <w:sz w:val="20"/>
        </w:rPr>
        <w:t xml:space="preserve">If the AS layer receives an explicit indication from the </w:t>
      </w:r>
      <w:r>
        <w:rPr>
          <w:rFonts w:ascii="Times New Roman" w:hAnsi="Times New Roman"/>
          <w:sz w:val="20"/>
        </w:rPr>
        <w:t xml:space="preserve">network or </w:t>
      </w:r>
      <w:r w:rsidRPr="009522D1">
        <w:rPr>
          <w:rFonts w:ascii="Times New Roman" w:hAnsi="Times New Roman"/>
          <w:sz w:val="20"/>
        </w:rPr>
        <w:t xml:space="preserve">higher layers </w:t>
      </w:r>
      <w:r w:rsidR="002C44D9">
        <w:rPr>
          <w:rFonts w:ascii="Times New Roman" w:hAnsi="Times New Roman"/>
          <w:sz w:val="20"/>
        </w:rPr>
        <w:t>to (re)perform the carrier selection</w:t>
      </w:r>
      <w:r w:rsidR="002E75EA">
        <w:rPr>
          <w:rFonts w:ascii="Times New Roman" w:hAnsi="Times New Roman"/>
          <w:sz w:val="20"/>
        </w:rPr>
        <w:t>.</w:t>
      </w:r>
    </w:p>
    <w:p w14:paraId="0E3ED7ED" w14:textId="77777777" w:rsidR="003F3513" w:rsidRDefault="008B4664" w:rsidP="003F3513">
      <w:pPr>
        <w:rPr>
          <w:rFonts w:ascii="Times New Roman" w:hAnsi="Times New Roman"/>
          <w:sz w:val="20"/>
        </w:rPr>
      </w:pPr>
      <w:r>
        <w:rPr>
          <w:rFonts w:ascii="Times New Roman" w:hAnsi="Times New Roman"/>
          <w:sz w:val="20"/>
        </w:rPr>
        <w:t xml:space="preserve">Since all these factors involve a close interaction between the AS and upper layers, feedback from SA2 might be needed </w:t>
      </w:r>
      <w:r w:rsidR="00595DB9">
        <w:rPr>
          <w:rFonts w:ascii="Times New Roman" w:hAnsi="Times New Roman"/>
          <w:sz w:val="20"/>
        </w:rPr>
        <w:t>to make progress in</w:t>
      </w:r>
      <w:r>
        <w:rPr>
          <w:rFonts w:ascii="Times New Roman" w:hAnsi="Times New Roman"/>
          <w:sz w:val="20"/>
        </w:rPr>
        <w:t xml:space="preserve"> this </w:t>
      </w:r>
      <w:r w:rsidR="00A316A6">
        <w:rPr>
          <w:rFonts w:ascii="Times New Roman" w:hAnsi="Times New Roman"/>
          <w:sz w:val="20"/>
        </w:rPr>
        <w:t>regard</w:t>
      </w:r>
      <w:r>
        <w:rPr>
          <w:rFonts w:ascii="Times New Roman" w:hAnsi="Times New Roman"/>
          <w:sz w:val="20"/>
        </w:rPr>
        <w:t>.</w:t>
      </w:r>
      <w:bookmarkStart w:id="0" w:name="_GoBack"/>
      <w:bookmarkEnd w:id="0"/>
    </w:p>
    <w:p w14:paraId="475C7032" w14:textId="1BEE5400" w:rsidR="00FA12E6" w:rsidRDefault="00180FB1" w:rsidP="00FA12E6">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4</w:t>
      </w:r>
      <w:r w:rsidR="0097023E" w:rsidRPr="001C137C">
        <w:rPr>
          <w:rFonts w:ascii="Times New Roman" w:eastAsia="Times New Roman" w:hAnsi="Times New Roman"/>
          <w:b/>
          <w:bCs/>
          <w:sz w:val="20"/>
          <w:szCs w:val="20"/>
          <w:u w:val="single"/>
          <w:lang w:val="en-GB" w:eastAsia="zh-CN"/>
        </w:rPr>
        <w:t>:</w:t>
      </w:r>
      <w:r w:rsidR="0097023E" w:rsidRPr="001C137C">
        <w:rPr>
          <w:rFonts w:ascii="Times New Roman" w:eastAsia="Times New Roman" w:hAnsi="Times New Roman"/>
          <w:b/>
          <w:bCs/>
          <w:sz w:val="20"/>
          <w:szCs w:val="20"/>
          <w:lang w:val="en-GB" w:eastAsia="zh-CN"/>
        </w:rPr>
        <w:tab/>
      </w:r>
      <w:r w:rsidR="007C0F9F">
        <w:rPr>
          <w:rFonts w:ascii="Times New Roman" w:eastAsia="Times New Roman" w:hAnsi="Times New Roman"/>
          <w:bCs/>
          <w:i/>
          <w:sz w:val="20"/>
          <w:szCs w:val="20"/>
          <w:lang w:val="en-GB" w:eastAsia="zh-CN"/>
        </w:rPr>
        <w:t xml:space="preserve">The afore-mentioned factors should be considered </w:t>
      </w:r>
      <w:r w:rsidR="002C44D9">
        <w:rPr>
          <w:rFonts w:ascii="Times New Roman" w:eastAsia="Times New Roman" w:hAnsi="Times New Roman"/>
          <w:bCs/>
          <w:i/>
          <w:sz w:val="20"/>
          <w:szCs w:val="20"/>
          <w:lang w:val="en-GB" w:eastAsia="zh-CN"/>
        </w:rPr>
        <w:t>on</w:t>
      </w:r>
      <w:r w:rsidR="007C0F9F">
        <w:rPr>
          <w:rFonts w:ascii="Times New Roman" w:eastAsia="Times New Roman" w:hAnsi="Times New Roman"/>
          <w:bCs/>
          <w:i/>
          <w:sz w:val="20"/>
          <w:szCs w:val="20"/>
          <w:lang w:val="en-GB" w:eastAsia="zh-CN"/>
        </w:rPr>
        <w:t xml:space="preserve"> when to perform the carrier selection procedure at the AS layer</w:t>
      </w:r>
      <w:r w:rsidR="002C44D9">
        <w:rPr>
          <w:rFonts w:ascii="Times New Roman" w:eastAsia="Times New Roman" w:hAnsi="Times New Roman"/>
          <w:bCs/>
          <w:i/>
          <w:sz w:val="20"/>
          <w:szCs w:val="20"/>
          <w:lang w:val="en-GB" w:eastAsia="zh-CN"/>
        </w:rPr>
        <w:t>.</w:t>
      </w:r>
    </w:p>
    <w:p w14:paraId="152B34B8" w14:textId="77777777" w:rsidR="00FA12E6" w:rsidRDefault="00FA12E6" w:rsidP="0097023E">
      <w:pPr>
        <w:ind w:left="1170" w:hanging="1170"/>
        <w:rPr>
          <w:rFonts w:ascii="Times New Roman" w:eastAsia="Times New Roman" w:hAnsi="Times New Roman"/>
          <w:bCs/>
          <w:i/>
          <w:sz w:val="20"/>
          <w:szCs w:val="20"/>
          <w:lang w:val="en-GB" w:eastAsia="zh-CN"/>
        </w:rPr>
      </w:pPr>
    </w:p>
    <w:p w14:paraId="60EF47DF" w14:textId="0E3B805E" w:rsidR="008669B1" w:rsidRDefault="008669B1" w:rsidP="004A4A78">
      <w:pPr>
        <w:pStyle w:val="Tdoc"/>
        <w:ind w:left="-90" w:firstLine="0"/>
      </w:pPr>
      <w:r w:rsidRPr="00E0063E">
        <w:t>Conclusion</w:t>
      </w:r>
    </w:p>
    <w:p w14:paraId="250D672A" w14:textId="00319DEC" w:rsidR="006D136D" w:rsidRDefault="00043F8C" w:rsidP="006D136D">
      <w:pPr>
        <w:rPr>
          <w:rFonts w:ascii="Times New Roman" w:hAnsi="Times New Roman"/>
          <w:sz w:val="20"/>
        </w:rPr>
      </w:pPr>
      <w:r>
        <w:rPr>
          <w:rFonts w:ascii="Times New Roman" w:hAnsi="Times New Roman"/>
          <w:sz w:val="20"/>
        </w:rPr>
        <w:t>This cont</w:t>
      </w:r>
      <w:r w:rsidR="00180FB1">
        <w:rPr>
          <w:rFonts w:ascii="Times New Roman" w:hAnsi="Times New Roman"/>
          <w:sz w:val="20"/>
        </w:rPr>
        <w:t xml:space="preserve">ribution focuses on the TX carrier selection for carrier aggregation over PC5 </w:t>
      </w:r>
      <w:r>
        <w:rPr>
          <w:rFonts w:ascii="Times New Roman" w:hAnsi="Times New Roman"/>
          <w:sz w:val="20"/>
        </w:rPr>
        <w:t xml:space="preserve">and makes the following proposals: </w:t>
      </w:r>
    </w:p>
    <w:p w14:paraId="08E8050B" w14:textId="77777777" w:rsidR="00493074" w:rsidRPr="00EC7671" w:rsidRDefault="00493074" w:rsidP="00493074">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case of joint sensing and resource selection across multiple carriers is not supported in Rel-15 V2X.</w:t>
      </w:r>
    </w:p>
    <w:p w14:paraId="48163C3B" w14:textId="77777777" w:rsidR="00493074" w:rsidRDefault="00493074" w:rsidP="00493074">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A single resource pool is mapped to a single SL carrier, similar to Rel-14 operation.</w:t>
      </w:r>
    </w:p>
    <w:p w14:paraId="181176FB" w14:textId="77777777" w:rsidR="00493074" w:rsidRPr="00031DC4" w:rsidRDefault="00493074" w:rsidP="00493074">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should discuss if the CA carrier selection mechanism being considered for Rel-15 V2X is service or packet specific.</w:t>
      </w:r>
    </w:p>
    <w:p w14:paraId="0510AA50" w14:textId="4B2BD805" w:rsidR="00295334" w:rsidRPr="00493074" w:rsidRDefault="00493074" w:rsidP="00493074">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4</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afore-mentioned factors should be considered on when to perform the carrier selection procedure at the AS layer.</w:t>
      </w:r>
    </w:p>
    <w:p w14:paraId="60EF47F2" w14:textId="5A59892A" w:rsidR="008669B1" w:rsidRDefault="006D136D" w:rsidP="00DA3465">
      <w:pPr>
        <w:pStyle w:val="Tdoc"/>
        <w:ind w:left="-90" w:firstLine="0"/>
      </w:pPr>
      <w:bookmarkStart w:id="1" w:name="_Ref458739888"/>
      <w:r>
        <w:lastRenderedPageBreak/>
        <w:t>References</w:t>
      </w:r>
    </w:p>
    <w:sdt>
      <w:sdtPr>
        <w:rPr>
          <w:rFonts w:ascii="Calibri" w:eastAsia="SimSun" w:hAnsi="Calibri"/>
          <w:color w:val="auto"/>
          <w:sz w:val="22"/>
          <w:szCs w:val="22"/>
        </w:rPr>
        <w:id w:val="86354446"/>
        <w:docPartObj>
          <w:docPartGallery w:val="Bibliographies"/>
          <w:docPartUnique/>
        </w:docPartObj>
      </w:sdtPr>
      <w:sdtEndPr/>
      <w:sdtContent>
        <w:sdt>
          <w:sdtPr>
            <w:rPr>
              <w:rFonts w:ascii="Calibri" w:eastAsia="SimSun" w:hAnsi="Calibri"/>
              <w:color w:val="auto"/>
              <w:sz w:val="22"/>
              <w:szCs w:val="22"/>
            </w:rPr>
            <w:id w:val="-573587230"/>
            <w:bibliography/>
          </w:sdtPr>
          <w:sdtEndPr/>
          <w:sdtContent>
            <w:p w14:paraId="0DACBB0D" w14:textId="66E197AD" w:rsidR="00F6757D" w:rsidRDefault="00F6757D" w:rsidP="00F6757D">
              <w:pPr>
                <w:pStyle w:val="Heading1"/>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F6757D" w14:paraId="5CEE14BC" w14:textId="77777777">
                <w:trPr>
                  <w:divId w:val="574752906"/>
                  <w:tblCellSpacing w:w="15" w:type="dxa"/>
                </w:trPr>
                <w:tc>
                  <w:tcPr>
                    <w:tcW w:w="50" w:type="pct"/>
                    <w:hideMark/>
                  </w:tcPr>
                  <w:p w14:paraId="1A34BD9D" w14:textId="77777777" w:rsidR="00F6757D" w:rsidRDefault="00F6757D">
                    <w:pPr>
                      <w:pStyle w:val="Bibliography"/>
                      <w:rPr>
                        <w:noProof/>
                        <w:sz w:val="24"/>
                        <w:szCs w:val="24"/>
                      </w:rPr>
                    </w:pPr>
                    <w:r>
                      <w:rPr>
                        <w:noProof/>
                      </w:rPr>
                      <w:t xml:space="preserve">[1] </w:t>
                    </w:r>
                  </w:p>
                </w:tc>
                <w:tc>
                  <w:tcPr>
                    <w:tcW w:w="0" w:type="auto"/>
                    <w:hideMark/>
                  </w:tcPr>
                  <w:p w14:paraId="745ADD70" w14:textId="77777777" w:rsidR="00F6757D" w:rsidRDefault="00F6757D">
                    <w:pPr>
                      <w:pStyle w:val="Bibliography"/>
                      <w:rPr>
                        <w:noProof/>
                      </w:rPr>
                    </w:pPr>
                    <w:r>
                      <w:rPr>
                        <w:noProof/>
                      </w:rPr>
                      <w:t xml:space="preserve">"RAN2#99, "Chairman notes from eV2X LTE breakout session"". </w:t>
                    </w:r>
                  </w:p>
                </w:tc>
              </w:tr>
              <w:tr w:rsidR="00F6757D" w14:paraId="7F5406A5" w14:textId="77777777">
                <w:trPr>
                  <w:divId w:val="574752906"/>
                  <w:tblCellSpacing w:w="15" w:type="dxa"/>
                </w:trPr>
                <w:tc>
                  <w:tcPr>
                    <w:tcW w:w="50" w:type="pct"/>
                    <w:hideMark/>
                  </w:tcPr>
                  <w:p w14:paraId="349E64A9" w14:textId="77777777" w:rsidR="00F6757D" w:rsidRDefault="00F6757D">
                    <w:pPr>
                      <w:pStyle w:val="Bibliography"/>
                      <w:rPr>
                        <w:noProof/>
                      </w:rPr>
                    </w:pPr>
                    <w:r>
                      <w:rPr>
                        <w:noProof/>
                      </w:rPr>
                      <w:t xml:space="preserve">[2] </w:t>
                    </w:r>
                  </w:p>
                </w:tc>
                <w:tc>
                  <w:tcPr>
                    <w:tcW w:w="0" w:type="auto"/>
                    <w:hideMark/>
                  </w:tcPr>
                  <w:p w14:paraId="3B88849B" w14:textId="77777777" w:rsidR="00F6757D" w:rsidRDefault="00F6757D">
                    <w:pPr>
                      <w:pStyle w:val="Bibliography"/>
                      <w:rPr>
                        <w:noProof/>
                      </w:rPr>
                    </w:pPr>
                    <w:r>
                      <w:rPr>
                        <w:noProof/>
                      </w:rPr>
                      <w:t xml:space="preserve">"R1-1715128, Chairman's notes of AI 5.2.3 3GPP V2X Phase 2". </w:t>
                    </w:r>
                  </w:p>
                </w:tc>
              </w:tr>
            </w:tbl>
            <w:p w14:paraId="558FEE10" w14:textId="77777777" w:rsidR="00F6757D" w:rsidRDefault="00F6757D">
              <w:pPr>
                <w:divId w:val="574752906"/>
                <w:rPr>
                  <w:rFonts w:eastAsia="Times New Roman"/>
                  <w:noProof/>
                </w:rPr>
              </w:pPr>
            </w:p>
            <w:p w14:paraId="468BD762" w14:textId="36909007" w:rsidR="00F6757D" w:rsidRDefault="00F6757D">
              <w:r>
                <w:rPr>
                  <w:b/>
                  <w:bCs/>
                  <w:noProof/>
                </w:rPr>
                <w:fldChar w:fldCharType="end"/>
              </w:r>
            </w:p>
          </w:sdtContent>
        </w:sdt>
      </w:sdtContent>
    </w:sdt>
    <w:p w14:paraId="1E76FB55" w14:textId="46414339" w:rsidR="00D8392B" w:rsidRPr="00D8392B" w:rsidRDefault="006D136D" w:rsidP="00D8392B">
      <w:pPr>
        <w:overflowPunct w:val="0"/>
        <w:autoSpaceDE w:val="0"/>
        <w:autoSpaceDN w:val="0"/>
        <w:adjustRightInd w:val="0"/>
        <w:spacing w:after="60" w:line="240" w:lineRule="auto"/>
        <w:jc w:val="both"/>
        <w:textAlignment w:val="baseline"/>
        <w:rPr>
          <w:noProof/>
          <w:sz w:val="20"/>
          <w:szCs w:val="20"/>
        </w:rPr>
      </w:pPr>
      <w:r>
        <w:rPr>
          <w:rFonts w:ascii="Times New Roman" w:hAnsi="Times New Roman"/>
          <w:sz w:val="20"/>
          <w:szCs w:val="20"/>
          <w:lang w:eastAsia="zh-CN"/>
        </w:rPr>
        <w:fldChar w:fldCharType="begin"/>
      </w:r>
      <w:r>
        <w:rPr>
          <w:rFonts w:ascii="Times New Roman" w:hAnsi="Times New Roman"/>
          <w:sz w:val="20"/>
          <w:szCs w:val="20"/>
          <w:lang w:eastAsia="zh-CN"/>
        </w:rPr>
        <w:instrText xml:space="preserve"> BIBLIOGRAPHY  \l 1033 </w:instrText>
      </w:r>
      <w:r>
        <w:rPr>
          <w:rFonts w:ascii="Times New Roman" w:hAnsi="Times New Roman"/>
          <w:sz w:val="20"/>
          <w:szCs w:val="20"/>
          <w:lang w:eastAsia="zh-CN"/>
        </w:rPr>
        <w:fldChar w:fldCharType="separate"/>
      </w:r>
    </w:p>
    <w:p w14:paraId="60EF47F3" w14:textId="2FF5AC94" w:rsidR="008669B1" w:rsidRPr="00E0063E" w:rsidRDefault="006D136D" w:rsidP="008669B1">
      <w:pPr>
        <w:overflowPunct w:val="0"/>
        <w:autoSpaceDE w:val="0"/>
        <w:autoSpaceDN w:val="0"/>
        <w:adjustRightInd w:val="0"/>
        <w:spacing w:after="60" w:line="240" w:lineRule="auto"/>
        <w:jc w:val="both"/>
        <w:textAlignment w:val="baseline"/>
        <w:rPr>
          <w:rFonts w:ascii="Times New Roman" w:hAnsi="Times New Roman"/>
          <w:sz w:val="20"/>
          <w:szCs w:val="20"/>
          <w:lang w:eastAsia="zh-CN"/>
        </w:rPr>
      </w:pPr>
      <w:r>
        <w:rPr>
          <w:rFonts w:ascii="Times New Roman" w:hAnsi="Times New Roman"/>
          <w:sz w:val="20"/>
          <w:szCs w:val="20"/>
          <w:lang w:eastAsia="zh-CN"/>
        </w:rPr>
        <w:fldChar w:fldCharType="end"/>
      </w:r>
    </w:p>
    <w:bookmarkEnd w:id="1"/>
    <w:p w14:paraId="60EF47F4" w14:textId="77777777" w:rsidR="008669B1" w:rsidRPr="00E0063E" w:rsidRDefault="008669B1" w:rsidP="008669B1">
      <w:pPr>
        <w:overflowPunct w:val="0"/>
        <w:autoSpaceDE w:val="0"/>
        <w:autoSpaceDN w:val="0"/>
        <w:adjustRightInd w:val="0"/>
        <w:spacing w:after="180" w:line="240" w:lineRule="auto"/>
        <w:textAlignment w:val="baseline"/>
        <w:rPr>
          <w:rFonts w:ascii="Times New Roman" w:hAnsi="Times New Roman"/>
          <w:sz w:val="20"/>
          <w:szCs w:val="20"/>
          <w:lang w:val="en-GB"/>
        </w:rPr>
      </w:pPr>
    </w:p>
    <w:p w14:paraId="60EF47F5" w14:textId="77777777" w:rsidR="008669B1" w:rsidRDefault="008669B1" w:rsidP="008669B1"/>
    <w:p w14:paraId="60EF47F6" w14:textId="77777777" w:rsidR="00E0063E" w:rsidRPr="008669B1" w:rsidRDefault="00E0063E" w:rsidP="008669B1"/>
    <w:sectPr w:rsidR="00E0063E" w:rsidRPr="008669B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F47F9" w14:textId="77777777" w:rsidR="009522D1" w:rsidRDefault="009522D1">
      <w:pPr>
        <w:spacing w:after="0" w:line="240" w:lineRule="auto"/>
      </w:pPr>
      <w:r>
        <w:separator/>
      </w:r>
    </w:p>
  </w:endnote>
  <w:endnote w:type="continuationSeparator" w:id="0">
    <w:p w14:paraId="60EF47FA" w14:textId="77777777" w:rsidR="009522D1" w:rsidRDefault="00952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F47FB" w14:textId="77777777" w:rsidR="009522D1" w:rsidRDefault="009522D1"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503E">
      <w:rPr>
        <w:rFonts w:ascii="Arial" w:hAnsi="Arial" w:cs="Arial"/>
        <w:b/>
        <w:noProof/>
        <w:sz w:val="18"/>
        <w:szCs w:val="18"/>
      </w:rPr>
      <w:t>2</w:t>
    </w:r>
    <w:r>
      <w:rPr>
        <w:rFonts w:ascii="Arial" w:hAnsi="Arial" w:cs="Arial"/>
        <w:b/>
        <w:sz w:val="18"/>
        <w:szCs w:val="18"/>
      </w:rPr>
      <w:fldChar w:fldCharType="end"/>
    </w:r>
  </w:p>
  <w:p w14:paraId="60EF47FC" w14:textId="77777777" w:rsidR="009522D1" w:rsidRDefault="009522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F47F7" w14:textId="77777777" w:rsidR="009522D1" w:rsidRDefault="009522D1">
      <w:pPr>
        <w:spacing w:after="0" w:line="240" w:lineRule="auto"/>
      </w:pPr>
      <w:r>
        <w:separator/>
      </w:r>
    </w:p>
  </w:footnote>
  <w:footnote w:type="continuationSeparator" w:id="0">
    <w:p w14:paraId="60EF47F8" w14:textId="77777777" w:rsidR="009522D1" w:rsidRDefault="009522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A02B7"/>
    <w:multiLevelType w:val="hybridMultilevel"/>
    <w:tmpl w:val="0D2C9774"/>
    <w:lvl w:ilvl="0" w:tplc="76F8A66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40589D"/>
    <w:multiLevelType w:val="hybridMultilevel"/>
    <w:tmpl w:val="534A92C2"/>
    <w:lvl w:ilvl="0" w:tplc="CF7428B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FCF6269"/>
    <w:multiLevelType w:val="hybridMultilevel"/>
    <w:tmpl w:val="2996E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cs="Times New Roman" w:hint="default"/>
      </w:rPr>
    </w:lvl>
    <w:lvl w:ilvl="1" w:tplc="40AC8826">
      <w:numFmt w:val="bullet"/>
      <w:lvlText w:val="•"/>
      <w:lvlJc w:val="left"/>
      <w:pPr>
        <w:tabs>
          <w:tab w:val="num" w:pos="1440"/>
        </w:tabs>
        <w:ind w:left="1440" w:hanging="360"/>
      </w:pPr>
      <w:rPr>
        <w:rFonts w:ascii="Arial" w:hAnsi="Arial" w:cs="Times New Roman" w:hint="default"/>
      </w:rPr>
    </w:lvl>
    <w:lvl w:ilvl="2" w:tplc="A338043A">
      <w:numFmt w:val="bullet"/>
      <w:lvlText w:val="•"/>
      <w:lvlJc w:val="left"/>
      <w:pPr>
        <w:tabs>
          <w:tab w:val="num" w:pos="2160"/>
        </w:tabs>
        <w:ind w:left="2160" w:hanging="360"/>
      </w:pPr>
      <w:rPr>
        <w:rFonts w:ascii="Arial" w:hAnsi="Arial" w:cs="Times New Roman" w:hint="default"/>
      </w:rPr>
    </w:lvl>
    <w:lvl w:ilvl="3" w:tplc="9AF4EF16">
      <w:start w:val="1"/>
      <w:numFmt w:val="bullet"/>
      <w:lvlText w:val="•"/>
      <w:lvlJc w:val="left"/>
      <w:pPr>
        <w:tabs>
          <w:tab w:val="num" w:pos="2880"/>
        </w:tabs>
        <w:ind w:left="2880" w:hanging="360"/>
      </w:pPr>
      <w:rPr>
        <w:rFonts w:ascii="Arial" w:hAnsi="Arial" w:cs="Times New Roman" w:hint="default"/>
      </w:rPr>
    </w:lvl>
    <w:lvl w:ilvl="4" w:tplc="C75CB2C2">
      <w:start w:val="1"/>
      <w:numFmt w:val="bullet"/>
      <w:lvlText w:val="•"/>
      <w:lvlJc w:val="left"/>
      <w:pPr>
        <w:tabs>
          <w:tab w:val="num" w:pos="3600"/>
        </w:tabs>
        <w:ind w:left="3600" w:hanging="360"/>
      </w:pPr>
      <w:rPr>
        <w:rFonts w:ascii="Arial" w:hAnsi="Arial" w:cs="Times New Roman" w:hint="default"/>
      </w:rPr>
    </w:lvl>
    <w:lvl w:ilvl="5" w:tplc="5AF86198">
      <w:start w:val="1"/>
      <w:numFmt w:val="bullet"/>
      <w:lvlText w:val="•"/>
      <w:lvlJc w:val="left"/>
      <w:pPr>
        <w:tabs>
          <w:tab w:val="num" w:pos="4320"/>
        </w:tabs>
        <w:ind w:left="4320" w:hanging="360"/>
      </w:pPr>
      <w:rPr>
        <w:rFonts w:ascii="Arial" w:hAnsi="Arial" w:cs="Times New Roman" w:hint="default"/>
      </w:rPr>
    </w:lvl>
    <w:lvl w:ilvl="6" w:tplc="7032A646">
      <w:start w:val="1"/>
      <w:numFmt w:val="bullet"/>
      <w:lvlText w:val="•"/>
      <w:lvlJc w:val="left"/>
      <w:pPr>
        <w:tabs>
          <w:tab w:val="num" w:pos="5040"/>
        </w:tabs>
        <w:ind w:left="5040" w:hanging="360"/>
      </w:pPr>
      <w:rPr>
        <w:rFonts w:ascii="Arial" w:hAnsi="Arial" w:cs="Times New Roman" w:hint="default"/>
      </w:rPr>
    </w:lvl>
    <w:lvl w:ilvl="7" w:tplc="5142A49A">
      <w:start w:val="1"/>
      <w:numFmt w:val="bullet"/>
      <w:lvlText w:val="•"/>
      <w:lvlJc w:val="left"/>
      <w:pPr>
        <w:tabs>
          <w:tab w:val="num" w:pos="5760"/>
        </w:tabs>
        <w:ind w:left="5760" w:hanging="360"/>
      </w:pPr>
      <w:rPr>
        <w:rFonts w:ascii="Arial" w:hAnsi="Arial" w:cs="Times New Roman" w:hint="default"/>
      </w:rPr>
    </w:lvl>
    <w:lvl w:ilvl="8" w:tplc="411EA638">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50D01173"/>
    <w:multiLevelType w:val="hybridMultilevel"/>
    <w:tmpl w:val="3BC2DDE0"/>
    <w:lvl w:ilvl="0" w:tplc="7D0C9752">
      <w:start w:val="1"/>
      <w:numFmt w:val="decimal"/>
      <w:pStyle w:val="Tdoc"/>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cs="Times New Roman" w:hint="default"/>
      </w:rPr>
    </w:lvl>
    <w:lvl w:ilvl="1" w:tplc="50D21FF0">
      <w:start w:val="1"/>
      <w:numFmt w:val="bullet"/>
      <w:lvlText w:val="•"/>
      <w:lvlJc w:val="left"/>
      <w:pPr>
        <w:tabs>
          <w:tab w:val="num" w:pos="1440"/>
        </w:tabs>
        <w:ind w:left="1440" w:hanging="360"/>
      </w:pPr>
      <w:rPr>
        <w:rFonts w:ascii="Arial" w:hAnsi="Arial" w:cs="Times New Roman" w:hint="default"/>
      </w:rPr>
    </w:lvl>
    <w:lvl w:ilvl="2" w:tplc="8C1A2DFC">
      <w:start w:val="1"/>
      <w:numFmt w:val="bullet"/>
      <w:lvlText w:val="•"/>
      <w:lvlJc w:val="left"/>
      <w:pPr>
        <w:tabs>
          <w:tab w:val="num" w:pos="2160"/>
        </w:tabs>
        <w:ind w:left="2160" w:hanging="360"/>
      </w:pPr>
      <w:rPr>
        <w:rFonts w:ascii="Arial" w:hAnsi="Arial" w:cs="Times New Roman" w:hint="default"/>
      </w:rPr>
    </w:lvl>
    <w:lvl w:ilvl="3" w:tplc="9D0C7AFC">
      <w:start w:val="1"/>
      <w:numFmt w:val="bullet"/>
      <w:lvlText w:val="•"/>
      <w:lvlJc w:val="left"/>
      <w:pPr>
        <w:tabs>
          <w:tab w:val="num" w:pos="2880"/>
        </w:tabs>
        <w:ind w:left="2880" w:hanging="360"/>
      </w:pPr>
      <w:rPr>
        <w:rFonts w:ascii="Arial" w:hAnsi="Arial" w:cs="Times New Roman" w:hint="default"/>
      </w:rPr>
    </w:lvl>
    <w:lvl w:ilvl="4" w:tplc="B158EBFC">
      <w:start w:val="1"/>
      <w:numFmt w:val="bullet"/>
      <w:lvlText w:val="•"/>
      <w:lvlJc w:val="left"/>
      <w:pPr>
        <w:tabs>
          <w:tab w:val="num" w:pos="3600"/>
        </w:tabs>
        <w:ind w:left="3600" w:hanging="360"/>
      </w:pPr>
      <w:rPr>
        <w:rFonts w:ascii="Arial" w:hAnsi="Arial" w:cs="Times New Roman" w:hint="default"/>
      </w:rPr>
    </w:lvl>
    <w:lvl w:ilvl="5" w:tplc="D9401CA2">
      <w:start w:val="1"/>
      <w:numFmt w:val="bullet"/>
      <w:lvlText w:val="•"/>
      <w:lvlJc w:val="left"/>
      <w:pPr>
        <w:tabs>
          <w:tab w:val="num" w:pos="4320"/>
        </w:tabs>
        <w:ind w:left="4320" w:hanging="360"/>
      </w:pPr>
      <w:rPr>
        <w:rFonts w:ascii="Arial" w:hAnsi="Arial" w:cs="Times New Roman" w:hint="default"/>
      </w:rPr>
    </w:lvl>
    <w:lvl w:ilvl="6" w:tplc="D922A9BE">
      <w:start w:val="1"/>
      <w:numFmt w:val="bullet"/>
      <w:lvlText w:val="•"/>
      <w:lvlJc w:val="left"/>
      <w:pPr>
        <w:tabs>
          <w:tab w:val="num" w:pos="5040"/>
        </w:tabs>
        <w:ind w:left="5040" w:hanging="360"/>
      </w:pPr>
      <w:rPr>
        <w:rFonts w:ascii="Arial" w:hAnsi="Arial" w:cs="Times New Roman" w:hint="default"/>
      </w:rPr>
    </w:lvl>
    <w:lvl w:ilvl="7" w:tplc="7DE64E50">
      <w:start w:val="1"/>
      <w:numFmt w:val="bullet"/>
      <w:lvlText w:val="•"/>
      <w:lvlJc w:val="left"/>
      <w:pPr>
        <w:tabs>
          <w:tab w:val="num" w:pos="5760"/>
        </w:tabs>
        <w:ind w:left="5760" w:hanging="360"/>
      </w:pPr>
      <w:rPr>
        <w:rFonts w:ascii="Arial" w:hAnsi="Arial" w:cs="Times New Roman" w:hint="default"/>
      </w:rPr>
    </w:lvl>
    <w:lvl w:ilvl="8" w:tplc="B7F85D2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0"/>
  </w:num>
  <w:num w:numId="3">
    <w:abstractNumId w:val="6"/>
  </w:num>
  <w:num w:numId="4">
    <w:abstractNumId w:val="5"/>
  </w:num>
  <w:num w:numId="5">
    <w:abstractNumId w:val="2"/>
    <w:lvlOverride w:ilvl="0">
      <w:startOverride w:val="1"/>
    </w:lvlOverride>
  </w:num>
  <w:num w:numId="6">
    <w:abstractNumId w:val="3"/>
    <w:lvlOverride w:ilvl="0">
      <w:startOverride w:val="2"/>
    </w:lvlOverride>
  </w:num>
  <w:num w:numId="7">
    <w:abstractNumId w:val="11"/>
  </w:num>
  <w:num w:numId="8">
    <w:abstractNumId w:val="9"/>
  </w:num>
  <w:num w:numId="9">
    <w:abstractNumId w:val="7"/>
  </w:num>
  <w:num w:numId="10">
    <w:abstractNumId w:val="8"/>
  </w:num>
  <w:num w:numId="11">
    <w:abstractNumId w:val="12"/>
  </w:num>
  <w:num w:numId="12">
    <w:abstractNumId w:val="1"/>
  </w:num>
  <w:num w:numId="13">
    <w:abstractNumId w:val="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765D"/>
    <w:rsid w:val="0001057A"/>
    <w:rsid w:val="00020BB3"/>
    <w:rsid w:val="000232B5"/>
    <w:rsid w:val="000270B0"/>
    <w:rsid w:val="00031A47"/>
    <w:rsid w:val="00031DC4"/>
    <w:rsid w:val="00043F8C"/>
    <w:rsid w:val="00066057"/>
    <w:rsid w:val="0007355E"/>
    <w:rsid w:val="0009610B"/>
    <w:rsid w:val="00096596"/>
    <w:rsid w:val="000A1656"/>
    <w:rsid w:val="000F5A71"/>
    <w:rsid w:val="00100001"/>
    <w:rsid w:val="00133829"/>
    <w:rsid w:val="00136F78"/>
    <w:rsid w:val="00142882"/>
    <w:rsid w:val="00154E29"/>
    <w:rsid w:val="001672FC"/>
    <w:rsid w:val="00174865"/>
    <w:rsid w:val="00175FAB"/>
    <w:rsid w:val="00180FB1"/>
    <w:rsid w:val="0019188A"/>
    <w:rsid w:val="00193EBE"/>
    <w:rsid w:val="00195430"/>
    <w:rsid w:val="00197274"/>
    <w:rsid w:val="001B4286"/>
    <w:rsid w:val="001B7E53"/>
    <w:rsid w:val="001C137C"/>
    <w:rsid w:val="001E221E"/>
    <w:rsid w:val="001E5CA5"/>
    <w:rsid w:val="001E5E85"/>
    <w:rsid w:val="001F5F0A"/>
    <w:rsid w:val="002049D9"/>
    <w:rsid w:val="0020567B"/>
    <w:rsid w:val="002115B0"/>
    <w:rsid w:val="00242773"/>
    <w:rsid w:val="00247EAA"/>
    <w:rsid w:val="00255CB1"/>
    <w:rsid w:val="00257333"/>
    <w:rsid w:val="00257402"/>
    <w:rsid w:val="00260222"/>
    <w:rsid w:val="00261015"/>
    <w:rsid w:val="00273937"/>
    <w:rsid w:val="00276574"/>
    <w:rsid w:val="00283702"/>
    <w:rsid w:val="00285D82"/>
    <w:rsid w:val="00291433"/>
    <w:rsid w:val="00293EC9"/>
    <w:rsid w:val="00295334"/>
    <w:rsid w:val="002A34DB"/>
    <w:rsid w:val="002B51AD"/>
    <w:rsid w:val="002C44D9"/>
    <w:rsid w:val="002E1794"/>
    <w:rsid w:val="002E75EA"/>
    <w:rsid w:val="002F04F8"/>
    <w:rsid w:val="002F153B"/>
    <w:rsid w:val="002F432E"/>
    <w:rsid w:val="002F575F"/>
    <w:rsid w:val="0030763F"/>
    <w:rsid w:val="00323003"/>
    <w:rsid w:val="00327883"/>
    <w:rsid w:val="00336D1D"/>
    <w:rsid w:val="00344D3D"/>
    <w:rsid w:val="003830B8"/>
    <w:rsid w:val="00392D6E"/>
    <w:rsid w:val="003A766F"/>
    <w:rsid w:val="003B6208"/>
    <w:rsid w:val="003D76A8"/>
    <w:rsid w:val="003F13B0"/>
    <w:rsid w:val="003F3513"/>
    <w:rsid w:val="00401BF6"/>
    <w:rsid w:val="00415F96"/>
    <w:rsid w:val="00433DA4"/>
    <w:rsid w:val="00437AB1"/>
    <w:rsid w:val="00445B7E"/>
    <w:rsid w:val="004504B4"/>
    <w:rsid w:val="00453DB6"/>
    <w:rsid w:val="00456DE3"/>
    <w:rsid w:val="00460EBA"/>
    <w:rsid w:val="00487FF0"/>
    <w:rsid w:val="0049247B"/>
    <w:rsid w:val="00493074"/>
    <w:rsid w:val="004A0A9B"/>
    <w:rsid w:val="004A31E1"/>
    <w:rsid w:val="004A40AE"/>
    <w:rsid w:val="004A4A78"/>
    <w:rsid w:val="004A5914"/>
    <w:rsid w:val="004B2F1A"/>
    <w:rsid w:val="004B64C4"/>
    <w:rsid w:val="004C626E"/>
    <w:rsid w:val="004F2847"/>
    <w:rsid w:val="004F316F"/>
    <w:rsid w:val="00504AB4"/>
    <w:rsid w:val="005067A7"/>
    <w:rsid w:val="005107D4"/>
    <w:rsid w:val="005117DA"/>
    <w:rsid w:val="00516777"/>
    <w:rsid w:val="00533422"/>
    <w:rsid w:val="00542BF0"/>
    <w:rsid w:val="0055706A"/>
    <w:rsid w:val="00557EDD"/>
    <w:rsid w:val="00574C96"/>
    <w:rsid w:val="00593190"/>
    <w:rsid w:val="00595DB9"/>
    <w:rsid w:val="005A4656"/>
    <w:rsid w:val="005D362E"/>
    <w:rsid w:val="005D58A9"/>
    <w:rsid w:val="005E4641"/>
    <w:rsid w:val="005F262D"/>
    <w:rsid w:val="006242D5"/>
    <w:rsid w:val="00630D2F"/>
    <w:rsid w:val="006319C2"/>
    <w:rsid w:val="00637738"/>
    <w:rsid w:val="006650AB"/>
    <w:rsid w:val="00667231"/>
    <w:rsid w:val="00675F65"/>
    <w:rsid w:val="00683A4C"/>
    <w:rsid w:val="00687129"/>
    <w:rsid w:val="00692413"/>
    <w:rsid w:val="006A27E5"/>
    <w:rsid w:val="006A5379"/>
    <w:rsid w:val="006B21C6"/>
    <w:rsid w:val="006C551C"/>
    <w:rsid w:val="006D0058"/>
    <w:rsid w:val="006D136D"/>
    <w:rsid w:val="006F2CDA"/>
    <w:rsid w:val="006F53D1"/>
    <w:rsid w:val="0071408B"/>
    <w:rsid w:val="00732A41"/>
    <w:rsid w:val="0076605A"/>
    <w:rsid w:val="00770295"/>
    <w:rsid w:val="00783A80"/>
    <w:rsid w:val="00783F29"/>
    <w:rsid w:val="00792327"/>
    <w:rsid w:val="00797358"/>
    <w:rsid w:val="007A49CD"/>
    <w:rsid w:val="007B4FBE"/>
    <w:rsid w:val="007C0F9F"/>
    <w:rsid w:val="007C6E5A"/>
    <w:rsid w:val="00804828"/>
    <w:rsid w:val="00826C94"/>
    <w:rsid w:val="00827742"/>
    <w:rsid w:val="0083198E"/>
    <w:rsid w:val="008669B1"/>
    <w:rsid w:val="00874674"/>
    <w:rsid w:val="008775ED"/>
    <w:rsid w:val="008A3B9F"/>
    <w:rsid w:val="008B1CE1"/>
    <w:rsid w:val="008B4664"/>
    <w:rsid w:val="008C0C20"/>
    <w:rsid w:val="008C7B03"/>
    <w:rsid w:val="008E278E"/>
    <w:rsid w:val="008F7C07"/>
    <w:rsid w:val="00901C24"/>
    <w:rsid w:val="00910B7A"/>
    <w:rsid w:val="00912C36"/>
    <w:rsid w:val="00914241"/>
    <w:rsid w:val="0092329B"/>
    <w:rsid w:val="00925869"/>
    <w:rsid w:val="00930C49"/>
    <w:rsid w:val="009340C0"/>
    <w:rsid w:val="009522D1"/>
    <w:rsid w:val="00952743"/>
    <w:rsid w:val="00955F6D"/>
    <w:rsid w:val="009573C2"/>
    <w:rsid w:val="0097023E"/>
    <w:rsid w:val="00975EB9"/>
    <w:rsid w:val="0098432E"/>
    <w:rsid w:val="00990376"/>
    <w:rsid w:val="009950C6"/>
    <w:rsid w:val="009A1C03"/>
    <w:rsid w:val="009C4D8E"/>
    <w:rsid w:val="009E7171"/>
    <w:rsid w:val="009F758B"/>
    <w:rsid w:val="00A0649F"/>
    <w:rsid w:val="00A1125D"/>
    <w:rsid w:val="00A1246A"/>
    <w:rsid w:val="00A17410"/>
    <w:rsid w:val="00A222A8"/>
    <w:rsid w:val="00A316A6"/>
    <w:rsid w:val="00A32D2F"/>
    <w:rsid w:val="00A44954"/>
    <w:rsid w:val="00A5035B"/>
    <w:rsid w:val="00A56C72"/>
    <w:rsid w:val="00A62968"/>
    <w:rsid w:val="00A63B12"/>
    <w:rsid w:val="00A824AF"/>
    <w:rsid w:val="00A86A88"/>
    <w:rsid w:val="00A86D91"/>
    <w:rsid w:val="00AB0725"/>
    <w:rsid w:val="00AC4F72"/>
    <w:rsid w:val="00AF256D"/>
    <w:rsid w:val="00B30016"/>
    <w:rsid w:val="00B4239D"/>
    <w:rsid w:val="00B45EDF"/>
    <w:rsid w:val="00B65189"/>
    <w:rsid w:val="00B74D9C"/>
    <w:rsid w:val="00B75750"/>
    <w:rsid w:val="00B76EA2"/>
    <w:rsid w:val="00B8326D"/>
    <w:rsid w:val="00BA2A04"/>
    <w:rsid w:val="00BB4A45"/>
    <w:rsid w:val="00BD47AD"/>
    <w:rsid w:val="00BE503E"/>
    <w:rsid w:val="00BF1A22"/>
    <w:rsid w:val="00C0320F"/>
    <w:rsid w:val="00C0460F"/>
    <w:rsid w:val="00C06CFA"/>
    <w:rsid w:val="00C12D8A"/>
    <w:rsid w:val="00C167A8"/>
    <w:rsid w:val="00C51289"/>
    <w:rsid w:val="00C52641"/>
    <w:rsid w:val="00C67B49"/>
    <w:rsid w:val="00C7137F"/>
    <w:rsid w:val="00C837CB"/>
    <w:rsid w:val="00C839B7"/>
    <w:rsid w:val="00C8413B"/>
    <w:rsid w:val="00C85BF2"/>
    <w:rsid w:val="00C87617"/>
    <w:rsid w:val="00C90D45"/>
    <w:rsid w:val="00C96E5D"/>
    <w:rsid w:val="00CB6AB5"/>
    <w:rsid w:val="00CC41A2"/>
    <w:rsid w:val="00CD0A2D"/>
    <w:rsid w:val="00CD39A2"/>
    <w:rsid w:val="00CD3B95"/>
    <w:rsid w:val="00CE70AB"/>
    <w:rsid w:val="00D00DDD"/>
    <w:rsid w:val="00D20B50"/>
    <w:rsid w:val="00D24C46"/>
    <w:rsid w:val="00D30D35"/>
    <w:rsid w:val="00D46F95"/>
    <w:rsid w:val="00D52161"/>
    <w:rsid w:val="00D54884"/>
    <w:rsid w:val="00D65AAE"/>
    <w:rsid w:val="00D74365"/>
    <w:rsid w:val="00D75EC2"/>
    <w:rsid w:val="00D8392B"/>
    <w:rsid w:val="00D8472B"/>
    <w:rsid w:val="00D90240"/>
    <w:rsid w:val="00DA3465"/>
    <w:rsid w:val="00DC299B"/>
    <w:rsid w:val="00DF07FB"/>
    <w:rsid w:val="00E0063E"/>
    <w:rsid w:val="00E05231"/>
    <w:rsid w:val="00E172AB"/>
    <w:rsid w:val="00E31E41"/>
    <w:rsid w:val="00E42BBE"/>
    <w:rsid w:val="00E47E11"/>
    <w:rsid w:val="00E53137"/>
    <w:rsid w:val="00E60548"/>
    <w:rsid w:val="00E60B81"/>
    <w:rsid w:val="00E66747"/>
    <w:rsid w:val="00E70758"/>
    <w:rsid w:val="00E731EB"/>
    <w:rsid w:val="00E936F6"/>
    <w:rsid w:val="00E96ECD"/>
    <w:rsid w:val="00EA3C14"/>
    <w:rsid w:val="00EA69D8"/>
    <w:rsid w:val="00EC1779"/>
    <w:rsid w:val="00EC6001"/>
    <w:rsid w:val="00EC7671"/>
    <w:rsid w:val="00ED00AF"/>
    <w:rsid w:val="00ED1FDD"/>
    <w:rsid w:val="00EF693B"/>
    <w:rsid w:val="00EF7688"/>
    <w:rsid w:val="00F117A5"/>
    <w:rsid w:val="00F14223"/>
    <w:rsid w:val="00F14233"/>
    <w:rsid w:val="00F16840"/>
    <w:rsid w:val="00F22784"/>
    <w:rsid w:val="00F421C5"/>
    <w:rsid w:val="00F52C55"/>
    <w:rsid w:val="00F63557"/>
    <w:rsid w:val="00F6757D"/>
    <w:rsid w:val="00F816DF"/>
    <w:rsid w:val="00F94B7D"/>
    <w:rsid w:val="00F9599A"/>
    <w:rsid w:val="00FA12E6"/>
    <w:rsid w:val="00FA3E42"/>
    <w:rsid w:val="00FD690B"/>
    <w:rsid w:val="00FE2F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F47AE"/>
  <w15:chartTrackingRefBased/>
  <w15:docId w15:val="{446264F4-F0FB-4BF8-AD01-583C9711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iPriority w:val="9"/>
    <w:semiHidden/>
    <w:unhideWhenUsed/>
    <w:qFormat/>
    <w:rsid w:val="001C137C"/>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semiHidden/>
    <w:unhideWhenUsed/>
    <w:qFormat/>
    <w:rsid w:val="00F959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semiHidden/>
    <w:rsid w:val="001C137C"/>
    <w:rPr>
      <w:rFonts w:ascii="Calibri Light" w:eastAsia="Times New Roman" w:hAnsi="Calibri Light" w:cs="Times New Roman"/>
      <w:b/>
      <w:bCs/>
      <w:i/>
      <w:iCs/>
      <w:sz w:val="28"/>
      <w:szCs w:val="28"/>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2049D9"/>
    <w:pPr>
      <w:spacing w:before="200"/>
      <w:ind w:left="864" w:right="864"/>
      <w:jc w:val="center"/>
    </w:pPr>
    <w:rPr>
      <w:i/>
      <w:iCs/>
      <w:color w:val="404040"/>
    </w:rPr>
  </w:style>
  <w:style w:type="character" w:customStyle="1" w:styleId="QuoteChar">
    <w:name w:val="Quote Char"/>
    <w:link w:val="Quote"/>
    <w:uiPriority w:val="29"/>
    <w:rsid w:val="002049D9"/>
    <w:rPr>
      <w:i/>
      <w:iCs/>
      <w:color w:val="404040"/>
      <w:sz w:val="22"/>
      <w:szCs w:val="22"/>
    </w:rPr>
  </w:style>
  <w:style w:type="paragraph" w:styleId="Caption">
    <w:name w:val="caption"/>
    <w:basedOn w:val="Normal"/>
    <w:next w:val="Normal"/>
    <w:uiPriority w:val="35"/>
    <w:unhideWhenUsed/>
    <w:qFormat/>
    <w:rsid w:val="008C0C20"/>
    <w:pPr>
      <w:spacing w:after="200" w:line="240" w:lineRule="auto"/>
    </w:pPr>
    <w:rPr>
      <w:i/>
      <w:iCs/>
      <w:color w:val="44546A" w:themeColor="text2"/>
      <w:sz w:val="18"/>
      <w:szCs w:val="18"/>
    </w:rPr>
  </w:style>
  <w:style w:type="character" w:customStyle="1" w:styleId="Heading3Char">
    <w:name w:val="Heading 3 Char"/>
    <w:basedOn w:val="DefaultParagraphFont"/>
    <w:link w:val="Heading3"/>
    <w:uiPriority w:val="9"/>
    <w:semiHidden/>
    <w:rsid w:val="00F9599A"/>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32137091">
      <w:bodyDiv w:val="1"/>
      <w:marLeft w:val="0"/>
      <w:marRight w:val="0"/>
      <w:marTop w:val="0"/>
      <w:marBottom w:val="0"/>
      <w:divBdr>
        <w:top w:val="none" w:sz="0" w:space="0" w:color="auto"/>
        <w:left w:val="none" w:sz="0" w:space="0" w:color="auto"/>
        <w:bottom w:val="none" w:sz="0" w:space="0" w:color="auto"/>
        <w:right w:val="none" w:sz="0" w:space="0" w:color="auto"/>
      </w:divBdr>
    </w:div>
    <w:div w:id="166678351">
      <w:bodyDiv w:val="1"/>
      <w:marLeft w:val="0"/>
      <w:marRight w:val="0"/>
      <w:marTop w:val="0"/>
      <w:marBottom w:val="0"/>
      <w:divBdr>
        <w:top w:val="none" w:sz="0" w:space="0" w:color="auto"/>
        <w:left w:val="none" w:sz="0" w:space="0" w:color="auto"/>
        <w:bottom w:val="none" w:sz="0" w:space="0" w:color="auto"/>
        <w:right w:val="none" w:sz="0" w:space="0" w:color="auto"/>
      </w:divBdr>
    </w:div>
    <w:div w:id="174268919">
      <w:bodyDiv w:val="1"/>
      <w:marLeft w:val="0"/>
      <w:marRight w:val="0"/>
      <w:marTop w:val="0"/>
      <w:marBottom w:val="0"/>
      <w:divBdr>
        <w:top w:val="none" w:sz="0" w:space="0" w:color="auto"/>
        <w:left w:val="none" w:sz="0" w:space="0" w:color="auto"/>
        <w:bottom w:val="none" w:sz="0" w:space="0" w:color="auto"/>
        <w:right w:val="none" w:sz="0" w:space="0" w:color="auto"/>
      </w:divBdr>
    </w:div>
    <w:div w:id="174926416">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45263777">
      <w:bodyDiv w:val="1"/>
      <w:marLeft w:val="0"/>
      <w:marRight w:val="0"/>
      <w:marTop w:val="0"/>
      <w:marBottom w:val="0"/>
      <w:divBdr>
        <w:top w:val="none" w:sz="0" w:space="0" w:color="auto"/>
        <w:left w:val="none" w:sz="0" w:space="0" w:color="auto"/>
        <w:bottom w:val="none" w:sz="0" w:space="0" w:color="auto"/>
        <w:right w:val="none" w:sz="0" w:space="0" w:color="auto"/>
      </w:divBdr>
    </w:div>
    <w:div w:id="30605892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4457423">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428964756">
      <w:bodyDiv w:val="1"/>
      <w:marLeft w:val="0"/>
      <w:marRight w:val="0"/>
      <w:marTop w:val="0"/>
      <w:marBottom w:val="0"/>
      <w:divBdr>
        <w:top w:val="none" w:sz="0" w:space="0" w:color="auto"/>
        <w:left w:val="none" w:sz="0" w:space="0" w:color="auto"/>
        <w:bottom w:val="none" w:sz="0" w:space="0" w:color="auto"/>
        <w:right w:val="none" w:sz="0" w:space="0" w:color="auto"/>
      </w:divBdr>
    </w:div>
    <w:div w:id="448201320">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6947528">
      <w:bodyDiv w:val="1"/>
      <w:marLeft w:val="0"/>
      <w:marRight w:val="0"/>
      <w:marTop w:val="0"/>
      <w:marBottom w:val="0"/>
      <w:divBdr>
        <w:top w:val="none" w:sz="0" w:space="0" w:color="auto"/>
        <w:left w:val="none" w:sz="0" w:space="0" w:color="auto"/>
        <w:bottom w:val="none" w:sz="0" w:space="0" w:color="auto"/>
        <w:right w:val="none" w:sz="0" w:space="0" w:color="auto"/>
      </w:divBdr>
    </w:div>
    <w:div w:id="574752906">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0532333">
      <w:bodyDiv w:val="1"/>
      <w:marLeft w:val="0"/>
      <w:marRight w:val="0"/>
      <w:marTop w:val="0"/>
      <w:marBottom w:val="0"/>
      <w:divBdr>
        <w:top w:val="none" w:sz="0" w:space="0" w:color="auto"/>
        <w:left w:val="none" w:sz="0" w:space="0" w:color="auto"/>
        <w:bottom w:val="none" w:sz="0" w:space="0" w:color="auto"/>
        <w:right w:val="none" w:sz="0" w:space="0" w:color="auto"/>
      </w:divBdr>
    </w:div>
    <w:div w:id="636104761">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7638068">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3477206">
      <w:bodyDiv w:val="1"/>
      <w:marLeft w:val="0"/>
      <w:marRight w:val="0"/>
      <w:marTop w:val="0"/>
      <w:marBottom w:val="0"/>
      <w:divBdr>
        <w:top w:val="none" w:sz="0" w:space="0" w:color="auto"/>
        <w:left w:val="none" w:sz="0" w:space="0" w:color="auto"/>
        <w:bottom w:val="none" w:sz="0" w:space="0" w:color="auto"/>
        <w:right w:val="none" w:sz="0" w:space="0" w:color="auto"/>
      </w:divBdr>
    </w:div>
    <w:div w:id="739253865">
      <w:bodyDiv w:val="1"/>
      <w:marLeft w:val="0"/>
      <w:marRight w:val="0"/>
      <w:marTop w:val="0"/>
      <w:marBottom w:val="0"/>
      <w:divBdr>
        <w:top w:val="none" w:sz="0" w:space="0" w:color="auto"/>
        <w:left w:val="none" w:sz="0" w:space="0" w:color="auto"/>
        <w:bottom w:val="none" w:sz="0" w:space="0" w:color="auto"/>
        <w:right w:val="none" w:sz="0" w:space="0" w:color="auto"/>
      </w:divBdr>
    </w:div>
    <w:div w:id="742144899">
      <w:bodyDiv w:val="1"/>
      <w:marLeft w:val="0"/>
      <w:marRight w:val="0"/>
      <w:marTop w:val="0"/>
      <w:marBottom w:val="0"/>
      <w:divBdr>
        <w:top w:val="none" w:sz="0" w:space="0" w:color="auto"/>
        <w:left w:val="none" w:sz="0" w:space="0" w:color="auto"/>
        <w:bottom w:val="none" w:sz="0" w:space="0" w:color="auto"/>
        <w:right w:val="none" w:sz="0" w:space="0" w:color="auto"/>
      </w:divBdr>
    </w:div>
    <w:div w:id="885719596">
      <w:bodyDiv w:val="1"/>
      <w:marLeft w:val="0"/>
      <w:marRight w:val="0"/>
      <w:marTop w:val="0"/>
      <w:marBottom w:val="0"/>
      <w:divBdr>
        <w:top w:val="none" w:sz="0" w:space="0" w:color="auto"/>
        <w:left w:val="none" w:sz="0" w:space="0" w:color="auto"/>
        <w:bottom w:val="none" w:sz="0" w:space="0" w:color="auto"/>
        <w:right w:val="none" w:sz="0" w:space="0" w:color="auto"/>
      </w:divBdr>
    </w:div>
    <w:div w:id="908198780">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9661860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8948737">
      <w:bodyDiv w:val="1"/>
      <w:marLeft w:val="0"/>
      <w:marRight w:val="0"/>
      <w:marTop w:val="0"/>
      <w:marBottom w:val="0"/>
      <w:divBdr>
        <w:top w:val="none" w:sz="0" w:space="0" w:color="auto"/>
        <w:left w:val="none" w:sz="0" w:space="0" w:color="auto"/>
        <w:bottom w:val="none" w:sz="0" w:space="0" w:color="auto"/>
        <w:right w:val="none" w:sz="0" w:space="0" w:color="auto"/>
      </w:divBdr>
    </w:div>
    <w:div w:id="1054700858">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250383557">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479296596">
      <w:bodyDiv w:val="1"/>
      <w:marLeft w:val="0"/>
      <w:marRight w:val="0"/>
      <w:marTop w:val="0"/>
      <w:marBottom w:val="0"/>
      <w:divBdr>
        <w:top w:val="none" w:sz="0" w:space="0" w:color="auto"/>
        <w:left w:val="none" w:sz="0" w:space="0" w:color="auto"/>
        <w:bottom w:val="none" w:sz="0" w:space="0" w:color="auto"/>
        <w:right w:val="none" w:sz="0" w:space="0" w:color="auto"/>
      </w:divBdr>
    </w:div>
    <w:div w:id="1495417618">
      <w:bodyDiv w:val="1"/>
      <w:marLeft w:val="0"/>
      <w:marRight w:val="0"/>
      <w:marTop w:val="0"/>
      <w:marBottom w:val="0"/>
      <w:divBdr>
        <w:top w:val="none" w:sz="0" w:space="0" w:color="auto"/>
        <w:left w:val="none" w:sz="0" w:space="0" w:color="auto"/>
        <w:bottom w:val="none" w:sz="0" w:space="0" w:color="auto"/>
        <w:right w:val="none" w:sz="0" w:space="0" w:color="auto"/>
      </w:divBdr>
    </w:div>
    <w:div w:id="1500149543">
      <w:bodyDiv w:val="1"/>
      <w:marLeft w:val="0"/>
      <w:marRight w:val="0"/>
      <w:marTop w:val="0"/>
      <w:marBottom w:val="0"/>
      <w:divBdr>
        <w:top w:val="none" w:sz="0" w:space="0" w:color="auto"/>
        <w:left w:val="none" w:sz="0" w:space="0" w:color="auto"/>
        <w:bottom w:val="none" w:sz="0" w:space="0" w:color="auto"/>
        <w:right w:val="none" w:sz="0" w:space="0" w:color="auto"/>
      </w:divBdr>
    </w:div>
    <w:div w:id="1555189839">
      <w:bodyDiv w:val="1"/>
      <w:marLeft w:val="0"/>
      <w:marRight w:val="0"/>
      <w:marTop w:val="0"/>
      <w:marBottom w:val="0"/>
      <w:divBdr>
        <w:top w:val="none" w:sz="0" w:space="0" w:color="auto"/>
        <w:left w:val="none" w:sz="0" w:space="0" w:color="auto"/>
        <w:bottom w:val="none" w:sz="0" w:space="0" w:color="auto"/>
        <w:right w:val="none" w:sz="0" w:space="0" w:color="auto"/>
      </w:divBdr>
    </w:div>
    <w:div w:id="1706052532">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99495201">
      <w:bodyDiv w:val="1"/>
      <w:marLeft w:val="0"/>
      <w:marRight w:val="0"/>
      <w:marTop w:val="0"/>
      <w:marBottom w:val="0"/>
      <w:divBdr>
        <w:top w:val="none" w:sz="0" w:space="0" w:color="auto"/>
        <w:left w:val="none" w:sz="0" w:space="0" w:color="auto"/>
        <w:bottom w:val="none" w:sz="0" w:space="0" w:color="auto"/>
        <w:right w:val="none" w:sz="0" w:space="0" w:color="auto"/>
      </w:divBdr>
    </w:div>
    <w:div w:id="1821262662">
      <w:bodyDiv w:val="1"/>
      <w:marLeft w:val="0"/>
      <w:marRight w:val="0"/>
      <w:marTop w:val="0"/>
      <w:marBottom w:val="0"/>
      <w:divBdr>
        <w:top w:val="none" w:sz="0" w:space="0" w:color="auto"/>
        <w:left w:val="none" w:sz="0" w:space="0" w:color="auto"/>
        <w:bottom w:val="none" w:sz="0" w:space="0" w:color="auto"/>
        <w:right w:val="none" w:sz="0" w:space="0" w:color="auto"/>
      </w:divBdr>
    </w:div>
    <w:div w:id="1871066864">
      <w:bodyDiv w:val="1"/>
      <w:marLeft w:val="0"/>
      <w:marRight w:val="0"/>
      <w:marTop w:val="0"/>
      <w:marBottom w:val="0"/>
      <w:divBdr>
        <w:top w:val="none" w:sz="0" w:space="0" w:color="auto"/>
        <w:left w:val="none" w:sz="0" w:space="0" w:color="auto"/>
        <w:bottom w:val="none" w:sz="0" w:space="0" w:color="auto"/>
        <w:right w:val="none" w:sz="0" w:space="0" w:color="auto"/>
      </w:divBdr>
    </w:div>
    <w:div w:id="1888682928">
      <w:bodyDiv w:val="1"/>
      <w:marLeft w:val="0"/>
      <w:marRight w:val="0"/>
      <w:marTop w:val="0"/>
      <w:marBottom w:val="0"/>
      <w:divBdr>
        <w:top w:val="none" w:sz="0" w:space="0" w:color="auto"/>
        <w:left w:val="none" w:sz="0" w:space="0" w:color="auto"/>
        <w:bottom w:val="none" w:sz="0" w:space="0" w:color="auto"/>
        <w:right w:val="none" w:sz="0" w:space="0" w:color="auto"/>
      </w:divBdr>
    </w:div>
    <w:div w:id="1899047672">
      <w:bodyDiv w:val="1"/>
      <w:marLeft w:val="0"/>
      <w:marRight w:val="0"/>
      <w:marTop w:val="0"/>
      <w:marBottom w:val="0"/>
      <w:divBdr>
        <w:top w:val="none" w:sz="0" w:space="0" w:color="auto"/>
        <w:left w:val="none" w:sz="0" w:space="0" w:color="auto"/>
        <w:bottom w:val="none" w:sz="0" w:space="0" w:color="auto"/>
        <w:right w:val="none" w:sz="0" w:space="0" w:color="auto"/>
      </w:divBdr>
    </w:div>
    <w:div w:id="1934823131">
      <w:bodyDiv w:val="1"/>
      <w:marLeft w:val="0"/>
      <w:marRight w:val="0"/>
      <w:marTop w:val="0"/>
      <w:marBottom w:val="0"/>
      <w:divBdr>
        <w:top w:val="none" w:sz="0" w:space="0" w:color="auto"/>
        <w:left w:val="none" w:sz="0" w:space="0" w:color="auto"/>
        <w:bottom w:val="none" w:sz="0" w:space="0" w:color="auto"/>
        <w:right w:val="none" w:sz="0" w:space="0" w:color="auto"/>
      </w:divBdr>
    </w:div>
    <w:div w:id="1943492420">
      <w:bodyDiv w:val="1"/>
      <w:marLeft w:val="0"/>
      <w:marRight w:val="0"/>
      <w:marTop w:val="0"/>
      <w:marBottom w:val="0"/>
      <w:divBdr>
        <w:top w:val="none" w:sz="0" w:space="0" w:color="auto"/>
        <w:left w:val="none" w:sz="0" w:space="0" w:color="auto"/>
        <w:bottom w:val="none" w:sz="0" w:space="0" w:color="auto"/>
        <w:right w:val="none" w:sz="0" w:space="0" w:color="auto"/>
      </w:divBdr>
    </w:div>
    <w:div w:id="1944994864">
      <w:bodyDiv w:val="1"/>
      <w:marLeft w:val="0"/>
      <w:marRight w:val="0"/>
      <w:marTop w:val="0"/>
      <w:marBottom w:val="0"/>
      <w:divBdr>
        <w:top w:val="none" w:sz="0" w:space="0" w:color="auto"/>
        <w:left w:val="none" w:sz="0" w:space="0" w:color="auto"/>
        <w:bottom w:val="none" w:sz="0" w:space="0" w:color="auto"/>
        <w:right w:val="none" w:sz="0" w:space="0" w:color="auto"/>
      </w:divBdr>
    </w:div>
    <w:div w:id="1966420520">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0092533">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53311466">
      <w:bodyDiv w:val="1"/>
      <w:marLeft w:val="0"/>
      <w:marRight w:val="0"/>
      <w:marTop w:val="0"/>
      <w:marBottom w:val="0"/>
      <w:divBdr>
        <w:top w:val="none" w:sz="0" w:space="0" w:color="auto"/>
        <w:left w:val="none" w:sz="0" w:space="0" w:color="auto"/>
        <w:bottom w:val="none" w:sz="0" w:space="0" w:color="auto"/>
        <w:right w:val="none" w:sz="0" w:space="0" w:color="auto"/>
      </w:divBdr>
    </w:div>
    <w:div w:id="214061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eV2x</b:Tag>
    <b:SourceType>ConferenceProceedings</b:SourceType>
    <b:Guid>{76A5CCC3-72C3-4C96-9693-C0FBF8A8F961}</b:Guid>
    <b:Title>RAN2#99, "Chairman notes from eV2X LTE breakout session"</b:Title>
    <b:RefOrder>1</b:RefOrder>
  </b:Source>
  <b:Source>
    <b:Tag>RAN1V2x</b:Tag>
    <b:SourceType>ConferenceProceedings</b:SourceType>
    <b:Guid>{3E587287-9597-4AA7-80B4-221138395857}</b:Guid>
    <b:Title>R1-1715128, Chairman's notes of AI 5.2.3 3GPP V2X Phase 2</b:Title>
    <b:RefOrder>2</b:RefOrder>
  </b:Source>
</b:Sources>
</file>

<file path=customXml/itemProps1.xml><?xml version="1.0" encoding="utf-8"?>
<ds:datastoreItem xmlns:ds="http://schemas.openxmlformats.org/officeDocument/2006/customXml" ds:itemID="{4C086211-7F5D-4D3D-98C6-46625FA417A7}">
  <ds:schemaRefs>
    <ds:schemaRef ds:uri="http://schemas.microsoft.com/sharepoint/v3/contenttype/forms"/>
  </ds:schemaRefs>
</ds:datastoreItem>
</file>

<file path=customXml/itemProps2.xml><?xml version="1.0" encoding="utf-8"?>
<ds:datastoreItem xmlns:ds="http://schemas.openxmlformats.org/officeDocument/2006/customXml" ds:itemID="{97CF9B5B-CEE0-4B9A-AF13-D0C734C1CE52}">
  <ds:schemaRefs>
    <ds:schemaRef ds:uri="http://schemas.microsoft.com/office/2006/metadata/properties"/>
    <ds:schemaRef ds:uri="http://schemas.microsoft.com/office/2006/documentManagement/types"/>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ECBBECEB-93BD-4642-93BD-6B9C9A7A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A05A838-DDA4-49B4-838E-919B0F9A9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696</TotalTime>
  <Pages>3</Pages>
  <Words>1134</Words>
  <Characters>6018</Characters>
  <Application>Microsoft Office Word</Application>
  <DocSecurity>0</DocSecurity>
  <Lines>93</Lines>
  <Paragraphs>40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cp:keywords>
  <dc:description/>
  <cp:lastModifiedBy>Ansab Ali</cp:lastModifiedBy>
  <cp:revision>118</cp:revision>
  <dcterms:created xsi:type="dcterms:W3CDTF">2017-08-10T20:32:00Z</dcterms:created>
  <dcterms:modified xsi:type="dcterms:W3CDTF">2017-09-29T02:39:00Z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8850e581-4a43-4e8f-a7f6-8ac716511562</vt:lpwstr>
  </property>
  <property fmtid="{D5CDD505-2E9C-101B-9397-08002B2CF9AE}" pid="4" name="CTP_BU">
    <vt:lpwstr>NA</vt:lpwstr>
  </property>
  <property fmtid="{D5CDD505-2E9C-101B-9397-08002B2CF9AE}" pid="5" name="CTP_TimeStamp">
    <vt:lpwstr>2017-09-29 02:39:07Z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